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789" w:rsidRPr="002B5EFF" w:rsidRDefault="00545B40" w:rsidP="002B5EFF">
      <w:pPr>
        <w:spacing w:beforeLines="100" w:before="312" w:afterLines="100" w:after="312" w:line="400" w:lineRule="exact"/>
        <w:jc w:val="center"/>
        <w:textAlignment w:val="baseline"/>
        <w:rPr>
          <w:rFonts w:ascii="黑体" w:eastAsia="黑体" w:hAnsi="黑体" w:cstheme="minorEastAsia"/>
          <w:sz w:val="36"/>
          <w:szCs w:val="36"/>
        </w:rPr>
      </w:pPr>
      <w:r w:rsidRPr="002B5EFF">
        <w:rPr>
          <w:rFonts w:ascii="黑体" w:eastAsia="黑体" w:hAnsi="黑体" w:cstheme="minorEastAsia" w:hint="eastAsia"/>
          <w:sz w:val="36"/>
          <w:szCs w:val="36"/>
        </w:rPr>
        <w:t>推荐202</w:t>
      </w:r>
      <w:r w:rsidR="002B5EFF" w:rsidRPr="002B5EFF">
        <w:rPr>
          <w:rFonts w:ascii="黑体" w:eastAsia="黑体" w:hAnsi="黑体" w:cstheme="minorEastAsia" w:hint="eastAsia"/>
          <w:sz w:val="36"/>
          <w:szCs w:val="36"/>
        </w:rPr>
        <w:t>4</w:t>
      </w:r>
      <w:r w:rsidRPr="002B5EFF">
        <w:rPr>
          <w:rFonts w:ascii="黑体" w:eastAsia="黑体" w:hAnsi="黑体" w:cstheme="minorEastAsia" w:hint="eastAsia"/>
          <w:sz w:val="36"/>
          <w:szCs w:val="36"/>
        </w:rPr>
        <w:t>年度陕西林业科学技术成果奖项目公示内容</w:t>
      </w:r>
    </w:p>
    <w:p w:rsidR="00D70529" w:rsidRDefault="00D70529" w:rsidP="00D70529">
      <w:pPr>
        <w:spacing w:line="360" w:lineRule="auto"/>
        <w:textAlignment w:val="baseline"/>
        <w:rPr>
          <w:rFonts w:ascii="黑体" w:eastAsia="黑体" w:hAnsi="黑体" w:hint="eastAsia"/>
          <w:sz w:val="28"/>
          <w:szCs w:val="28"/>
        </w:rPr>
      </w:pPr>
    </w:p>
    <w:p w:rsidR="00D70529" w:rsidRPr="00D70529" w:rsidRDefault="00D70529" w:rsidP="00D70529">
      <w:pPr>
        <w:spacing w:line="360" w:lineRule="auto"/>
        <w:textAlignment w:val="baseline"/>
        <w:rPr>
          <w:rFonts w:ascii="黑体" w:eastAsia="黑体" w:hAnsi="黑体"/>
          <w:sz w:val="28"/>
          <w:szCs w:val="28"/>
        </w:rPr>
      </w:pPr>
      <w:r w:rsidRPr="00D70529">
        <w:rPr>
          <w:rFonts w:ascii="黑体" w:eastAsia="黑体" w:hAnsi="黑体" w:hint="eastAsia"/>
          <w:sz w:val="28"/>
          <w:szCs w:val="28"/>
        </w:rPr>
        <w:t>一、项目名称</w:t>
      </w:r>
    </w:p>
    <w:p w:rsidR="00D70529" w:rsidRPr="00D70529" w:rsidRDefault="00D70529" w:rsidP="00D70529">
      <w:pPr>
        <w:spacing w:line="360" w:lineRule="auto"/>
        <w:ind w:firstLineChars="200" w:firstLine="480"/>
        <w:textAlignment w:val="baseline"/>
        <w:rPr>
          <w:sz w:val="24"/>
        </w:rPr>
      </w:pPr>
      <w:r w:rsidRPr="00D70529">
        <w:rPr>
          <w:rFonts w:hint="eastAsia"/>
          <w:sz w:val="24"/>
        </w:rPr>
        <w:t>陕西省林草</w:t>
      </w:r>
      <w:r w:rsidRPr="00D70529">
        <w:rPr>
          <w:sz w:val="24"/>
        </w:rPr>
        <w:t>生物质</w:t>
      </w:r>
      <w:r w:rsidRPr="00D70529">
        <w:rPr>
          <w:rFonts w:hint="eastAsia"/>
          <w:sz w:val="24"/>
        </w:rPr>
        <w:t>产品</w:t>
      </w:r>
      <w:r w:rsidRPr="00D70529">
        <w:rPr>
          <w:sz w:val="24"/>
        </w:rPr>
        <w:t>碳排放</w:t>
      </w:r>
      <w:r w:rsidRPr="00D70529">
        <w:rPr>
          <w:rFonts w:hint="eastAsia"/>
          <w:sz w:val="24"/>
        </w:rPr>
        <w:t>核算体系</w:t>
      </w:r>
      <w:r w:rsidRPr="00D70529">
        <w:rPr>
          <w:sz w:val="24"/>
        </w:rPr>
        <w:t>的构建与应用</w:t>
      </w:r>
    </w:p>
    <w:p w:rsidR="00D70529" w:rsidRPr="00D70529" w:rsidRDefault="00D70529" w:rsidP="00D70529">
      <w:pPr>
        <w:spacing w:line="360" w:lineRule="auto"/>
        <w:textAlignment w:val="baseline"/>
        <w:rPr>
          <w:rFonts w:ascii="黑体" w:eastAsia="黑体" w:hAnsi="黑体"/>
          <w:sz w:val="28"/>
          <w:szCs w:val="28"/>
        </w:rPr>
      </w:pPr>
      <w:r w:rsidRPr="00D70529">
        <w:rPr>
          <w:rFonts w:ascii="黑体" w:eastAsia="黑体" w:hAnsi="黑体" w:hint="eastAsia"/>
          <w:sz w:val="28"/>
          <w:szCs w:val="28"/>
        </w:rPr>
        <w:t>二、项目简介</w:t>
      </w:r>
    </w:p>
    <w:p w:rsidR="00D70529" w:rsidRPr="00D70529" w:rsidRDefault="00D70529" w:rsidP="00D70529">
      <w:pPr>
        <w:widowControl/>
        <w:numPr>
          <w:ilvl w:val="0"/>
          <w:numId w:val="30"/>
        </w:numPr>
        <w:spacing w:line="360" w:lineRule="auto"/>
        <w:jc w:val="left"/>
        <w:rPr>
          <w:b/>
          <w:bCs/>
          <w:color w:val="0D0D0D"/>
          <w:sz w:val="24"/>
          <w:szCs w:val="24"/>
        </w:rPr>
      </w:pPr>
      <w:r w:rsidRPr="00D70529">
        <w:rPr>
          <w:rFonts w:hint="eastAsia"/>
          <w:b/>
          <w:bCs/>
          <w:color w:val="0D0D0D"/>
          <w:sz w:val="24"/>
          <w:szCs w:val="24"/>
        </w:rPr>
        <w:t>主要研究内容</w:t>
      </w:r>
    </w:p>
    <w:p w:rsidR="00D70529" w:rsidRPr="00D70529" w:rsidRDefault="00D70529" w:rsidP="00D70529">
      <w:pPr>
        <w:spacing w:line="360" w:lineRule="auto"/>
        <w:ind w:firstLineChars="200" w:firstLine="480"/>
        <w:textAlignment w:val="baseline"/>
        <w:rPr>
          <w:sz w:val="24"/>
        </w:rPr>
      </w:pPr>
      <w:r w:rsidRPr="00D70529">
        <w:rPr>
          <w:rFonts w:hint="eastAsia"/>
          <w:sz w:val="24"/>
        </w:rPr>
        <w:t>陕西省林草生物质资源丰富，高值化利用具有</w:t>
      </w:r>
      <w:proofErr w:type="gramStart"/>
      <w:r w:rsidRPr="00D70529">
        <w:rPr>
          <w:rFonts w:hint="eastAsia"/>
          <w:sz w:val="24"/>
        </w:rPr>
        <w:t>巨大碳减排</w:t>
      </w:r>
      <w:proofErr w:type="gramEnd"/>
      <w:r w:rsidRPr="00D70529">
        <w:rPr>
          <w:rFonts w:hint="eastAsia"/>
          <w:sz w:val="24"/>
        </w:rPr>
        <w:t>潜力。然而陕西省生态系统相对脆弱，生物质资源不合理地开发利用极易引发负面生态效应。因此需要展开生物质利用碳排放的系统全面的评估，为“双碳”目标的达成提供重要的理论依据。传统的碳排放核算方法忽略生物质本身的碳排放，存在显著盲点，不能保证生物质资源利用的可持续性，因此，在国家“双碳”战略目标背景下，充分考虑我省生物质特性，项目组构建生物质利用的碳排放核算体系，保证了生物质的可持续利用，为生物质利用的生态和经济价值评估提供了可靠的技术支撑，为准确评估生物质产品对“双碳”目标的贡献提供理论依据，同时为我省完善生物质利用政策具有重要指导意义。</w:t>
      </w:r>
    </w:p>
    <w:p w:rsidR="00D70529" w:rsidRPr="00D70529" w:rsidRDefault="00D70529" w:rsidP="00D70529">
      <w:pPr>
        <w:spacing w:line="500" w:lineRule="exact"/>
        <w:ind w:firstLineChars="200" w:firstLine="480"/>
        <w:rPr>
          <w:sz w:val="24"/>
        </w:rPr>
      </w:pPr>
      <w:r w:rsidRPr="00D70529">
        <w:rPr>
          <w:rFonts w:hint="eastAsia"/>
          <w:sz w:val="24"/>
        </w:rPr>
        <w:t>本成果从生物质的生态学属性出发，在明确其利用过程中对生态系统过程影响的基础上，揭示了其利用过程中</w:t>
      </w:r>
      <w:r w:rsidRPr="00D70529">
        <w:rPr>
          <w:sz w:val="24"/>
        </w:rPr>
        <w:t>碳排放</w:t>
      </w:r>
      <w:r w:rsidRPr="00D70529">
        <w:rPr>
          <w:rFonts w:hint="eastAsia"/>
          <w:sz w:val="24"/>
        </w:rPr>
        <w:t>的生态学</w:t>
      </w:r>
      <w:r w:rsidRPr="00D70529">
        <w:rPr>
          <w:sz w:val="24"/>
        </w:rPr>
        <w:t>机理。</w:t>
      </w:r>
      <w:r w:rsidRPr="00D70529">
        <w:rPr>
          <w:rFonts w:hint="eastAsia"/>
          <w:sz w:val="24"/>
        </w:rPr>
        <w:t>并基于</w:t>
      </w:r>
      <w:r w:rsidRPr="00D70529">
        <w:rPr>
          <w:sz w:val="24"/>
        </w:rPr>
        <w:t>生物质</w:t>
      </w:r>
      <w:r w:rsidRPr="00D70529">
        <w:rPr>
          <w:rFonts w:hint="eastAsia"/>
          <w:sz w:val="24"/>
        </w:rPr>
        <w:t>产品</w:t>
      </w:r>
      <w:r w:rsidRPr="00D70529">
        <w:rPr>
          <w:sz w:val="24"/>
        </w:rPr>
        <w:t>碳排放的生态学</w:t>
      </w:r>
      <w:r w:rsidRPr="00D70529">
        <w:rPr>
          <w:rFonts w:hint="eastAsia"/>
          <w:sz w:val="24"/>
        </w:rPr>
        <w:t>机理和生态系统碳动态的复杂性</w:t>
      </w:r>
      <w:r w:rsidRPr="00D70529">
        <w:rPr>
          <w:sz w:val="24"/>
        </w:rPr>
        <w:t>，整合</w:t>
      </w:r>
      <w:r w:rsidRPr="00D70529">
        <w:rPr>
          <w:rFonts w:hint="eastAsia"/>
          <w:sz w:val="24"/>
        </w:rPr>
        <w:t>了</w:t>
      </w:r>
      <w:r w:rsidRPr="00D70529">
        <w:rPr>
          <w:sz w:val="24"/>
        </w:rPr>
        <w:t>生态系统碳动态、大气</w:t>
      </w:r>
      <w:r w:rsidRPr="00D70529">
        <w:rPr>
          <w:rFonts w:hint="eastAsia"/>
          <w:sz w:val="24"/>
        </w:rPr>
        <w:t>C</w:t>
      </w:r>
      <w:r w:rsidRPr="00D70529">
        <w:rPr>
          <w:sz w:val="24"/>
        </w:rPr>
        <w:t>O</w:t>
      </w:r>
      <w:r w:rsidRPr="00D70529">
        <w:rPr>
          <w:sz w:val="24"/>
          <w:vertAlign w:val="subscript"/>
        </w:rPr>
        <w:t>2</w:t>
      </w:r>
      <w:r w:rsidRPr="00D70529">
        <w:rPr>
          <w:rFonts w:hint="eastAsia"/>
          <w:sz w:val="24"/>
        </w:rPr>
        <w:t>衰减</w:t>
      </w:r>
      <w:r w:rsidRPr="00D70529">
        <w:rPr>
          <w:sz w:val="24"/>
        </w:rPr>
        <w:t>、生命周期评估模型，</w:t>
      </w:r>
      <w:r w:rsidRPr="00D70529">
        <w:rPr>
          <w:rFonts w:hint="eastAsia"/>
          <w:sz w:val="24"/>
        </w:rPr>
        <w:t>构建了全新的</w:t>
      </w:r>
      <w:r w:rsidRPr="00D70529">
        <w:rPr>
          <w:sz w:val="24"/>
        </w:rPr>
        <w:t>生物质</w:t>
      </w:r>
      <w:r w:rsidRPr="00D70529">
        <w:rPr>
          <w:rFonts w:hint="eastAsia"/>
          <w:sz w:val="24"/>
        </w:rPr>
        <w:t>产品</w:t>
      </w:r>
      <w:r w:rsidRPr="00D70529">
        <w:rPr>
          <w:sz w:val="24"/>
        </w:rPr>
        <w:t>碳排放</w:t>
      </w:r>
      <w:r w:rsidRPr="00D70529">
        <w:rPr>
          <w:rFonts w:hint="eastAsia"/>
          <w:sz w:val="24"/>
        </w:rPr>
        <w:t>精准</w:t>
      </w:r>
      <w:r w:rsidRPr="00D70529">
        <w:rPr>
          <w:sz w:val="24"/>
        </w:rPr>
        <w:t>核算体系</w:t>
      </w:r>
      <w:r w:rsidRPr="00D70529">
        <w:rPr>
          <w:rFonts w:hint="eastAsia"/>
          <w:sz w:val="24"/>
        </w:rPr>
        <w:t>，并将其应用于陕西、全国，乃至全球的林草生物质利用的碳排放评估，对生物质资源利用的碳排放进行精准核算。为生物质利用的生态和经济价值准确评估</w:t>
      </w:r>
      <w:r w:rsidRPr="00D70529">
        <w:rPr>
          <w:sz w:val="24"/>
        </w:rPr>
        <w:t>提供</w:t>
      </w:r>
      <w:r w:rsidRPr="00D70529">
        <w:rPr>
          <w:rFonts w:hint="eastAsia"/>
          <w:sz w:val="24"/>
        </w:rPr>
        <w:t>了</w:t>
      </w:r>
      <w:r w:rsidRPr="00D70529">
        <w:rPr>
          <w:sz w:val="24"/>
        </w:rPr>
        <w:t>可靠的理论依据和技术支撑</w:t>
      </w:r>
      <w:r w:rsidRPr="00D70529">
        <w:rPr>
          <w:rFonts w:hint="eastAsia"/>
          <w:sz w:val="24"/>
        </w:rPr>
        <w:t>。</w:t>
      </w:r>
    </w:p>
    <w:p w:rsidR="00D70529" w:rsidRPr="00D70529" w:rsidRDefault="00D70529" w:rsidP="00D70529">
      <w:pPr>
        <w:widowControl/>
        <w:numPr>
          <w:ilvl w:val="0"/>
          <w:numId w:val="30"/>
        </w:numPr>
        <w:spacing w:line="360" w:lineRule="auto"/>
        <w:jc w:val="left"/>
        <w:rPr>
          <w:b/>
          <w:bCs/>
          <w:color w:val="0D0D0D"/>
          <w:sz w:val="24"/>
          <w:szCs w:val="24"/>
        </w:rPr>
      </w:pPr>
      <w:r w:rsidRPr="00D70529">
        <w:rPr>
          <w:rFonts w:hint="eastAsia"/>
          <w:b/>
          <w:bCs/>
          <w:color w:val="0D0D0D"/>
          <w:sz w:val="24"/>
          <w:szCs w:val="24"/>
        </w:rPr>
        <w:t>重要创新点</w:t>
      </w:r>
    </w:p>
    <w:p w:rsidR="00D70529" w:rsidRPr="00D70529" w:rsidRDefault="00D70529" w:rsidP="00D70529">
      <w:pPr>
        <w:spacing w:line="500" w:lineRule="exact"/>
        <w:ind w:firstLineChars="200" w:firstLine="480"/>
        <w:jc w:val="left"/>
        <w:rPr>
          <w:sz w:val="24"/>
        </w:rPr>
      </w:pPr>
      <w:r w:rsidRPr="00D70529">
        <w:rPr>
          <w:rFonts w:hint="eastAsia"/>
          <w:sz w:val="24"/>
        </w:rPr>
        <w:t>（</w:t>
      </w:r>
      <w:r w:rsidRPr="00D70529">
        <w:rPr>
          <w:rFonts w:hint="eastAsia"/>
          <w:sz w:val="24"/>
        </w:rPr>
        <w:t>1</w:t>
      </w:r>
      <w:r w:rsidRPr="00D70529">
        <w:rPr>
          <w:rFonts w:hint="eastAsia"/>
          <w:sz w:val="24"/>
        </w:rPr>
        <w:t>）揭示了生物质产品碳排放的生态学机理</w:t>
      </w:r>
    </w:p>
    <w:p w:rsidR="00D70529" w:rsidRPr="00D70529" w:rsidRDefault="00D70529" w:rsidP="00D70529">
      <w:pPr>
        <w:spacing w:line="500" w:lineRule="exact"/>
        <w:ind w:firstLineChars="200" w:firstLine="480"/>
        <w:jc w:val="left"/>
        <w:rPr>
          <w:sz w:val="24"/>
        </w:rPr>
      </w:pPr>
      <w:r w:rsidRPr="00D70529">
        <w:rPr>
          <w:rFonts w:hint="eastAsia"/>
          <w:sz w:val="24"/>
        </w:rPr>
        <w:t>生物质资源来源于生态系统，其利用过程中的碳排放与生物质资源的生态学属性及其在生态系统过程中的作用密切相关。传统的碳排放评估方式忽略生物质本身的碳排放，造成了生物质产品燃烧或废弃分解排放过程与生态系统</w:t>
      </w:r>
      <w:proofErr w:type="gramStart"/>
      <w:r w:rsidRPr="00D70529">
        <w:rPr>
          <w:rFonts w:hint="eastAsia"/>
          <w:sz w:val="24"/>
        </w:rPr>
        <w:t>固碳过程</w:t>
      </w:r>
      <w:proofErr w:type="gramEnd"/>
      <w:r w:rsidRPr="00D70529">
        <w:rPr>
          <w:rFonts w:hint="eastAsia"/>
          <w:sz w:val="24"/>
        </w:rPr>
        <w:t>的分离。本成果从生物质资源的生态学属性出发，在明确其利用过程中对生态系统过程影响的基础</w:t>
      </w:r>
      <w:r w:rsidRPr="00D70529">
        <w:rPr>
          <w:rFonts w:hint="eastAsia"/>
          <w:sz w:val="24"/>
        </w:rPr>
        <w:lastRenderedPageBreak/>
        <w:t>上，揭示了其利用过程中碳排放的生态学机理。</w:t>
      </w:r>
    </w:p>
    <w:p w:rsidR="00D70529" w:rsidRPr="00D70529" w:rsidRDefault="00D70529" w:rsidP="00D70529">
      <w:pPr>
        <w:spacing w:line="500" w:lineRule="exact"/>
        <w:ind w:firstLineChars="200" w:firstLine="480"/>
        <w:jc w:val="left"/>
        <w:rPr>
          <w:sz w:val="24"/>
        </w:rPr>
      </w:pPr>
      <w:r w:rsidRPr="00D70529">
        <w:rPr>
          <w:rFonts w:hint="eastAsia"/>
          <w:sz w:val="24"/>
        </w:rPr>
        <w:t>（</w:t>
      </w:r>
      <w:r w:rsidRPr="00D70529">
        <w:rPr>
          <w:rFonts w:hint="eastAsia"/>
          <w:sz w:val="24"/>
        </w:rPr>
        <w:t>2</w:t>
      </w:r>
      <w:r w:rsidRPr="00D70529">
        <w:rPr>
          <w:rFonts w:hint="eastAsia"/>
          <w:sz w:val="24"/>
        </w:rPr>
        <w:t>）构建了全新的生物质产品碳排放核算体系</w:t>
      </w:r>
    </w:p>
    <w:p w:rsidR="00D70529" w:rsidRPr="00D70529" w:rsidRDefault="00D70529" w:rsidP="00D70529">
      <w:pPr>
        <w:spacing w:line="500" w:lineRule="exact"/>
        <w:ind w:firstLineChars="200" w:firstLine="480"/>
        <w:jc w:val="left"/>
        <w:rPr>
          <w:sz w:val="24"/>
        </w:rPr>
      </w:pPr>
      <w:r w:rsidRPr="00D70529">
        <w:rPr>
          <w:rFonts w:hint="eastAsia"/>
          <w:sz w:val="24"/>
        </w:rPr>
        <w:t>基于生物质产品碳排放的生态学机理和生态系统碳动态的复杂性，整合了生态系统碳动态、大气</w:t>
      </w:r>
      <w:r w:rsidRPr="00D70529">
        <w:rPr>
          <w:rFonts w:hint="eastAsia"/>
          <w:sz w:val="24"/>
        </w:rPr>
        <w:t>C</w:t>
      </w:r>
      <w:r w:rsidRPr="00D70529">
        <w:rPr>
          <w:sz w:val="24"/>
        </w:rPr>
        <w:t>O</w:t>
      </w:r>
      <w:r w:rsidRPr="00D70529">
        <w:rPr>
          <w:sz w:val="24"/>
          <w:vertAlign w:val="subscript"/>
        </w:rPr>
        <w:t>2</w:t>
      </w:r>
      <w:r w:rsidRPr="00D70529">
        <w:rPr>
          <w:rFonts w:hint="eastAsia"/>
          <w:sz w:val="24"/>
        </w:rPr>
        <w:t>衰减、生命周期评估模型，构建了全新的生物质产品碳排放核算体系，对生物质资源利用的碳排放进行精准核算，为生物质利用的生态和经济价值进行准确评估提供了可靠的理论依据和技术支撑。</w:t>
      </w:r>
    </w:p>
    <w:p w:rsidR="00D70529" w:rsidRPr="00D70529" w:rsidRDefault="00D70529" w:rsidP="00D70529">
      <w:pPr>
        <w:widowControl/>
        <w:numPr>
          <w:ilvl w:val="0"/>
          <w:numId w:val="30"/>
        </w:numPr>
        <w:spacing w:line="360" w:lineRule="auto"/>
        <w:jc w:val="left"/>
        <w:rPr>
          <w:b/>
          <w:bCs/>
          <w:color w:val="0D0D0D"/>
          <w:sz w:val="24"/>
          <w:szCs w:val="24"/>
        </w:rPr>
      </w:pPr>
      <w:r w:rsidRPr="00D70529">
        <w:rPr>
          <w:rFonts w:hint="eastAsia"/>
          <w:b/>
          <w:bCs/>
          <w:color w:val="0D0D0D"/>
          <w:sz w:val="24"/>
          <w:szCs w:val="24"/>
        </w:rPr>
        <w:t>科学价值</w:t>
      </w:r>
    </w:p>
    <w:p w:rsidR="00D70529" w:rsidRPr="00D70529" w:rsidRDefault="00D70529" w:rsidP="00D70529">
      <w:pPr>
        <w:spacing w:line="360" w:lineRule="auto"/>
        <w:ind w:firstLineChars="200" w:firstLine="480"/>
        <w:textAlignment w:val="baseline"/>
        <w:rPr>
          <w:sz w:val="24"/>
        </w:rPr>
      </w:pPr>
      <w:r w:rsidRPr="00D70529">
        <w:rPr>
          <w:rFonts w:hint="eastAsia"/>
          <w:sz w:val="24"/>
        </w:rPr>
        <w:t>本成果从理论层面，打破了基于</w:t>
      </w:r>
      <w:r w:rsidRPr="00D70529">
        <w:rPr>
          <w:sz w:val="24"/>
        </w:rPr>
        <w:t>“</w:t>
      </w:r>
      <w:r w:rsidRPr="00D70529">
        <w:rPr>
          <w:sz w:val="24"/>
        </w:rPr>
        <w:t>碳中性</w:t>
      </w:r>
      <w:r w:rsidRPr="00D70529">
        <w:rPr>
          <w:sz w:val="24"/>
        </w:rPr>
        <w:t>”</w:t>
      </w:r>
      <w:r w:rsidRPr="00D70529">
        <w:rPr>
          <w:sz w:val="24"/>
        </w:rPr>
        <w:t>假说而建立的各种评估模型在碳排放核算中存在的缺陷。</w:t>
      </w:r>
      <w:r w:rsidRPr="00D70529">
        <w:rPr>
          <w:rFonts w:hint="eastAsia"/>
          <w:sz w:val="24"/>
        </w:rPr>
        <w:t>通过明确</w:t>
      </w:r>
      <w:r w:rsidRPr="00D70529">
        <w:rPr>
          <w:sz w:val="24"/>
        </w:rPr>
        <w:t>生物质</w:t>
      </w:r>
      <w:r w:rsidRPr="00D70529">
        <w:rPr>
          <w:rFonts w:hint="eastAsia"/>
          <w:sz w:val="24"/>
        </w:rPr>
        <w:t>产品</w:t>
      </w:r>
      <w:r w:rsidRPr="00D70529">
        <w:rPr>
          <w:sz w:val="24"/>
        </w:rPr>
        <w:t>供应链中碳排放估算的误差，</w:t>
      </w:r>
      <w:r w:rsidRPr="00D70529">
        <w:rPr>
          <w:rFonts w:hint="eastAsia"/>
          <w:sz w:val="24"/>
        </w:rPr>
        <w:t>证实</w:t>
      </w:r>
      <w:r w:rsidRPr="00D70529">
        <w:rPr>
          <w:sz w:val="24"/>
        </w:rPr>
        <w:t>了生物质</w:t>
      </w:r>
      <w:r w:rsidRPr="00D70529">
        <w:rPr>
          <w:rFonts w:hint="eastAsia"/>
          <w:sz w:val="24"/>
        </w:rPr>
        <w:t>产品</w:t>
      </w:r>
      <w:r w:rsidRPr="00D70529">
        <w:rPr>
          <w:sz w:val="24"/>
        </w:rPr>
        <w:t>利用过程中</w:t>
      </w:r>
      <w:r w:rsidRPr="00D70529">
        <w:rPr>
          <w:sz w:val="24"/>
        </w:rPr>
        <w:t>CO</w:t>
      </w:r>
      <w:r w:rsidRPr="00D70529">
        <w:rPr>
          <w:sz w:val="24"/>
          <w:vertAlign w:val="subscript"/>
        </w:rPr>
        <w:t>2</w:t>
      </w:r>
      <w:r w:rsidRPr="00D70529">
        <w:rPr>
          <w:rFonts w:hint="eastAsia"/>
          <w:sz w:val="24"/>
        </w:rPr>
        <w:t>排放的不确定性，揭示了生物质利用过程中碳排放的形成机理，构建了全新的</w:t>
      </w:r>
      <w:r w:rsidRPr="00D70529">
        <w:rPr>
          <w:sz w:val="24"/>
        </w:rPr>
        <w:t>生物质</w:t>
      </w:r>
      <w:r w:rsidRPr="00D70529">
        <w:rPr>
          <w:rFonts w:hint="eastAsia"/>
          <w:sz w:val="24"/>
        </w:rPr>
        <w:t>产品</w:t>
      </w:r>
      <w:r w:rsidRPr="00D70529">
        <w:rPr>
          <w:sz w:val="24"/>
        </w:rPr>
        <w:t>碳排放核算</w:t>
      </w:r>
      <w:r w:rsidRPr="00D70529">
        <w:rPr>
          <w:rFonts w:hint="eastAsia"/>
          <w:sz w:val="24"/>
        </w:rPr>
        <w:t>精准评估体系。</w:t>
      </w:r>
    </w:p>
    <w:p w:rsidR="00D70529" w:rsidRPr="00D70529" w:rsidRDefault="00D70529" w:rsidP="00D70529">
      <w:pPr>
        <w:spacing w:line="360" w:lineRule="auto"/>
        <w:ind w:firstLineChars="200" w:firstLine="480"/>
        <w:textAlignment w:val="baseline"/>
        <w:rPr>
          <w:sz w:val="24"/>
        </w:rPr>
      </w:pPr>
      <w:r w:rsidRPr="00D70529">
        <w:rPr>
          <w:rFonts w:hint="eastAsia"/>
          <w:sz w:val="24"/>
        </w:rPr>
        <w:t>在实践层面，本成果构建的全新</w:t>
      </w:r>
      <w:proofErr w:type="gramStart"/>
      <w:r w:rsidRPr="00D70529">
        <w:rPr>
          <w:sz w:val="24"/>
        </w:rPr>
        <w:t>生物质</w:t>
      </w:r>
      <w:proofErr w:type="gramEnd"/>
      <w:r w:rsidRPr="00D70529">
        <w:rPr>
          <w:rFonts w:hint="eastAsia"/>
          <w:sz w:val="24"/>
        </w:rPr>
        <w:t>产品</w:t>
      </w:r>
      <w:r w:rsidRPr="00D70529">
        <w:rPr>
          <w:sz w:val="24"/>
        </w:rPr>
        <w:t>碳排放</w:t>
      </w:r>
      <w:r w:rsidRPr="00D70529">
        <w:rPr>
          <w:rFonts w:hint="eastAsia"/>
          <w:sz w:val="24"/>
        </w:rPr>
        <w:t>精准</w:t>
      </w:r>
      <w:r w:rsidRPr="00D70529">
        <w:rPr>
          <w:sz w:val="24"/>
        </w:rPr>
        <w:t>核算体系</w:t>
      </w:r>
      <w:r w:rsidRPr="00D70529">
        <w:rPr>
          <w:rFonts w:hint="eastAsia"/>
          <w:sz w:val="24"/>
        </w:rPr>
        <w:t>，能够应用于陕西、全国，乃至全球的林草生物质利用的碳排放评估，为科学指导我省</w:t>
      </w:r>
      <w:r w:rsidRPr="00D70529">
        <w:rPr>
          <w:sz w:val="24"/>
        </w:rPr>
        <w:t>生物质</w:t>
      </w:r>
      <w:r w:rsidRPr="00D70529">
        <w:rPr>
          <w:rFonts w:hint="eastAsia"/>
          <w:sz w:val="24"/>
        </w:rPr>
        <w:t>资源的开发利用</w:t>
      </w:r>
      <w:r w:rsidRPr="00D70529">
        <w:rPr>
          <w:sz w:val="24"/>
        </w:rPr>
        <w:t>，对服务国家</w:t>
      </w:r>
      <w:proofErr w:type="gramStart"/>
      <w:r w:rsidRPr="00D70529">
        <w:rPr>
          <w:sz w:val="24"/>
        </w:rPr>
        <w:t>节能降碳战略</w:t>
      </w:r>
      <w:proofErr w:type="gramEnd"/>
      <w:r w:rsidRPr="00D70529">
        <w:rPr>
          <w:sz w:val="24"/>
        </w:rPr>
        <w:t>，促进</w:t>
      </w:r>
      <w:r w:rsidRPr="00D70529">
        <w:rPr>
          <w:rFonts w:hint="eastAsia"/>
          <w:sz w:val="24"/>
        </w:rPr>
        <w:t>我省</w:t>
      </w:r>
      <w:r w:rsidRPr="00D70529">
        <w:rPr>
          <w:sz w:val="24"/>
        </w:rPr>
        <w:t>经济和生态</w:t>
      </w:r>
      <w:r w:rsidRPr="00D70529">
        <w:rPr>
          <w:rFonts w:hint="eastAsia"/>
          <w:sz w:val="24"/>
        </w:rPr>
        <w:t>协同</w:t>
      </w:r>
      <w:r w:rsidRPr="00D70529">
        <w:rPr>
          <w:sz w:val="24"/>
        </w:rPr>
        <w:t>发展</w:t>
      </w:r>
      <w:r w:rsidRPr="00D70529">
        <w:rPr>
          <w:rFonts w:hint="eastAsia"/>
          <w:sz w:val="24"/>
        </w:rPr>
        <w:t>提供可靠</w:t>
      </w:r>
      <w:r w:rsidRPr="00D70529">
        <w:rPr>
          <w:sz w:val="24"/>
        </w:rPr>
        <w:t>的理论依据和技术支撑</w:t>
      </w:r>
      <w:r w:rsidRPr="00D70529">
        <w:rPr>
          <w:rFonts w:hint="eastAsia"/>
          <w:sz w:val="24"/>
        </w:rPr>
        <w:t>。</w:t>
      </w:r>
    </w:p>
    <w:p w:rsidR="00D70529" w:rsidRPr="00D70529" w:rsidRDefault="00D70529" w:rsidP="00D70529">
      <w:pPr>
        <w:widowControl/>
        <w:numPr>
          <w:ilvl w:val="0"/>
          <w:numId w:val="30"/>
        </w:numPr>
        <w:spacing w:line="360" w:lineRule="auto"/>
        <w:jc w:val="left"/>
        <w:rPr>
          <w:b/>
          <w:bCs/>
          <w:color w:val="0D0D0D"/>
          <w:sz w:val="24"/>
          <w:szCs w:val="24"/>
        </w:rPr>
      </w:pPr>
      <w:r w:rsidRPr="00D70529">
        <w:rPr>
          <w:rFonts w:hint="eastAsia"/>
          <w:b/>
          <w:bCs/>
          <w:color w:val="0D0D0D"/>
          <w:sz w:val="24"/>
          <w:szCs w:val="24"/>
        </w:rPr>
        <w:t>同行引用及评价</w:t>
      </w:r>
    </w:p>
    <w:p w:rsidR="00D70529" w:rsidRPr="00D70529" w:rsidRDefault="00D70529" w:rsidP="00D70529">
      <w:pPr>
        <w:spacing w:line="360" w:lineRule="auto"/>
        <w:ind w:firstLineChars="200" w:firstLine="480"/>
        <w:textAlignment w:val="baseline"/>
        <w:rPr>
          <w:sz w:val="24"/>
        </w:rPr>
      </w:pPr>
      <w:r w:rsidRPr="00D70529">
        <w:rPr>
          <w:rFonts w:hint="eastAsia"/>
          <w:sz w:val="24"/>
        </w:rPr>
        <w:t>本成果中构建的全新</w:t>
      </w:r>
      <w:proofErr w:type="gramStart"/>
      <w:r w:rsidRPr="00D70529">
        <w:rPr>
          <w:rFonts w:hint="eastAsia"/>
          <w:sz w:val="24"/>
        </w:rPr>
        <w:t>生物质</w:t>
      </w:r>
      <w:proofErr w:type="gramEnd"/>
      <w:r w:rsidRPr="00D70529">
        <w:rPr>
          <w:rFonts w:hint="eastAsia"/>
          <w:sz w:val="24"/>
        </w:rPr>
        <w:t>产品碳排放核算评估体系，充分考虑了生物质利用过程中</w:t>
      </w:r>
      <w:r w:rsidRPr="00D70529">
        <w:rPr>
          <w:rFonts w:hint="eastAsia"/>
          <w:sz w:val="24"/>
        </w:rPr>
        <w:t>CO</w:t>
      </w:r>
      <w:r w:rsidRPr="00D70529">
        <w:rPr>
          <w:rFonts w:hint="eastAsia"/>
          <w:sz w:val="24"/>
          <w:vertAlign w:val="subscript"/>
        </w:rPr>
        <w:t>2</w:t>
      </w:r>
      <w:r w:rsidRPr="00D70529">
        <w:rPr>
          <w:rFonts w:hint="eastAsia"/>
          <w:sz w:val="24"/>
        </w:rPr>
        <w:t>排放，相关研究成果发表在</w:t>
      </w:r>
      <w:r w:rsidRPr="00D70529">
        <w:rPr>
          <w:rFonts w:hint="eastAsia"/>
          <w:i/>
          <w:sz w:val="24"/>
        </w:rPr>
        <w:t>Nature Communications</w:t>
      </w:r>
      <w:r w:rsidRPr="00D70529">
        <w:rPr>
          <w:rFonts w:hint="eastAsia"/>
          <w:i/>
          <w:sz w:val="24"/>
        </w:rPr>
        <w:t>、</w:t>
      </w:r>
      <w:r w:rsidRPr="00D70529">
        <w:rPr>
          <w:rFonts w:hint="eastAsia"/>
          <w:i/>
          <w:sz w:val="24"/>
        </w:rPr>
        <w:t>Forest Ecology and Management</w:t>
      </w:r>
      <w:r w:rsidRPr="00D70529">
        <w:rPr>
          <w:rFonts w:hint="eastAsia"/>
          <w:sz w:val="24"/>
        </w:rPr>
        <w:t>、</w:t>
      </w:r>
      <w:r w:rsidRPr="00D70529">
        <w:rPr>
          <w:rFonts w:hint="eastAsia"/>
          <w:i/>
          <w:sz w:val="24"/>
        </w:rPr>
        <w:t>Resources, Conservation and Recycling</w:t>
      </w:r>
      <w:r w:rsidRPr="00D70529">
        <w:rPr>
          <w:rFonts w:hint="eastAsia"/>
          <w:sz w:val="24"/>
        </w:rPr>
        <w:t>、</w:t>
      </w:r>
      <w:r w:rsidRPr="00D70529">
        <w:rPr>
          <w:rFonts w:hint="eastAsia"/>
          <w:i/>
          <w:sz w:val="24"/>
        </w:rPr>
        <w:t>Applied Energy</w:t>
      </w:r>
      <w:r w:rsidRPr="00D70529">
        <w:rPr>
          <w:rFonts w:hint="eastAsia"/>
          <w:sz w:val="24"/>
        </w:rPr>
        <w:t>、</w:t>
      </w:r>
      <w:r w:rsidRPr="00D70529">
        <w:rPr>
          <w:rFonts w:hint="eastAsia"/>
          <w:i/>
          <w:sz w:val="24"/>
        </w:rPr>
        <w:t>Renewable and Sustainable Energy Reviews</w:t>
      </w:r>
      <w:r w:rsidRPr="00D70529">
        <w:rPr>
          <w:rFonts w:hint="eastAsia"/>
          <w:sz w:val="24"/>
        </w:rPr>
        <w:t>、</w:t>
      </w:r>
      <w:r w:rsidRPr="00D70529">
        <w:rPr>
          <w:rFonts w:hint="eastAsia"/>
          <w:i/>
          <w:sz w:val="24"/>
        </w:rPr>
        <w:t>Ecological Indicators</w:t>
      </w:r>
      <w:r w:rsidRPr="00D70529">
        <w:rPr>
          <w:rFonts w:hint="eastAsia"/>
          <w:sz w:val="24"/>
        </w:rPr>
        <w:t>等行业顶级学术期刊。共计他引</w:t>
      </w:r>
      <w:r w:rsidRPr="00D70529">
        <w:rPr>
          <w:sz w:val="24"/>
        </w:rPr>
        <w:t>201</w:t>
      </w:r>
      <w:r w:rsidRPr="00D70529">
        <w:rPr>
          <w:rFonts w:hint="eastAsia"/>
          <w:sz w:val="24"/>
        </w:rPr>
        <w:t>次，其中单篇最高他引</w:t>
      </w:r>
      <w:r w:rsidRPr="00D70529">
        <w:rPr>
          <w:sz w:val="24"/>
        </w:rPr>
        <w:t>92</w:t>
      </w:r>
      <w:r w:rsidRPr="00D70529">
        <w:rPr>
          <w:rFonts w:hint="eastAsia"/>
          <w:sz w:val="24"/>
        </w:rPr>
        <w:t>次。研究成果获得国内外同行的高度赞同，加拿大圣弗朗西斯泽维尔大学</w:t>
      </w:r>
      <w:r w:rsidRPr="00D70529">
        <w:rPr>
          <w:rFonts w:hint="eastAsia"/>
          <w:sz w:val="24"/>
        </w:rPr>
        <w:t>P</w:t>
      </w:r>
      <w:r w:rsidRPr="00D70529">
        <w:rPr>
          <w:sz w:val="24"/>
        </w:rPr>
        <w:t xml:space="preserve">atrick </w:t>
      </w:r>
      <w:proofErr w:type="spellStart"/>
      <w:r w:rsidRPr="00D70529">
        <w:rPr>
          <w:rFonts w:hint="eastAsia"/>
          <w:sz w:val="24"/>
        </w:rPr>
        <w:t>Withey</w:t>
      </w:r>
      <w:proofErr w:type="spellEnd"/>
      <w:r w:rsidRPr="00D70529">
        <w:rPr>
          <w:rFonts w:hint="eastAsia"/>
          <w:sz w:val="24"/>
        </w:rPr>
        <w:t>教授、德国哥廷根大学</w:t>
      </w:r>
      <w:r w:rsidRPr="00D70529">
        <w:rPr>
          <w:rFonts w:hint="eastAsia"/>
          <w:sz w:val="24"/>
        </w:rPr>
        <w:t>A</w:t>
      </w:r>
      <w:r w:rsidRPr="00D70529">
        <w:rPr>
          <w:sz w:val="24"/>
        </w:rPr>
        <w:t xml:space="preserve">na </w:t>
      </w:r>
      <w:proofErr w:type="spellStart"/>
      <w:r w:rsidRPr="00D70529">
        <w:rPr>
          <w:rFonts w:hint="eastAsia"/>
          <w:sz w:val="24"/>
        </w:rPr>
        <w:t>Meijide</w:t>
      </w:r>
      <w:proofErr w:type="spellEnd"/>
      <w:r w:rsidRPr="00D70529">
        <w:rPr>
          <w:rFonts w:hint="eastAsia"/>
          <w:sz w:val="24"/>
        </w:rPr>
        <w:t>教授、美国北卡罗来纳州立大学</w:t>
      </w:r>
      <w:r w:rsidRPr="00D70529">
        <w:rPr>
          <w:rFonts w:hint="eastAsia"/>
          <w:sz w:val="24"/>
        </w:rPr>
        <w:t>J</w:t>
      </w:r>
      <w:r w:rsidRPr="00D70529">
        <w:rPr>
          <w:sz w:val="24"/>
        </w:rPr>
        <w:t xml:space="preserve">ames </w:t>
      </w:r>
      <w:r w:rsidRPr="00D70529">
        <w:rPr>
          <w:rFonts w:hint="eastAsia"/>
          <w:sz w:val="24"/>
        </w:rPr>
        <w:t>Levis</w:t>
      </w:r>
      <w:r w:rsidRPr="00D70529">
        <w:rPr>
          <w:rFonts w:hint="eastAsia"/>
          <w:sz w:val="24"/>
        </w:rPr>
        <w:t>教授、</w:t>
      </w:r>
      <w:r w:rsidRPr="00D70529">
        <w:rPr>
          <w:rFonts w:hint="eastAsia"/>
          <w:sz w:val="24"/>
          <w:szCs w:val="24"/>
        </w:rPr>
        <w:t>加拿大国家研究委员会</w:t>
      </w:r>
      <w:proofErr w:type="spellStart"/>
      <w:r w:rsidRPr="00D70529">
        <w:rPr>
          <w:sz w:val="24"/>
          <w:szCs w:val="24"/>
        </w:rPr>
        <w:t>Farid</w:t>
      </w:r>
      <w:proofErr w:type="spellEnd"/>
      <w:r w:rsidRPr="00D70529">
        <w:rPr>
          <w:sz w:val="24"/>
          <w:szCs w:val="24"/>
        </w:rPr>
        <w:t xml:space="preserve"> </w:t>
      </w:r>
      <w:proofErr w:type="spellStart"/>
      <w:r w:rsidRPr="00D70529">
        <w:rPr>
          <w:sz w:val="24"/>
          <w:szCs w:val="24"/>
        </w:rPr>
        <w:t>Bensebaa</w:t>
      </w:r>
      <w:proofErr w:type="spellEnd"/>
      <w:r w:rsidRPr="00D70529">
        <w:rPr>
          <w:rFonts w:hint="eastAsia"/>
          <w:sz w:val="24"/>
          <w:szCs w:val="24"/>
        </w:rPr>
        <w:t>教授</w:t>
      </w:r>
      <w:r w:rsidRPr="00D70529">
        <w:rPr>
          <w:rFonts w:hint="eastAsia"/>
          <w:sz w:val="24"/>
        </w:rPr>
        <w:t>和</w:t>
      </w:r>
      <w:r w:rsidRPr="00D70529">
        <w:rPr>
          <w:rFonts w:hint="eastAsia"/>
          <w:sz w:val="24"/>
          <w:szCs w:val="24"/>
        </w:rPr>
        <w:t>中国石油大学梁永图教授</w:t>
      </w:r>
      <w:r w:rsidRPr="00D70529">
        <w:rPr>
          <w:rFonts w:hint="eastAsia"/>
          <w:sz w:val="24"/>
        </w:rPr>
        <w:t>分别在</w:t>
      </w:r>
      <w:r w:rsidRPr="00D70529">
        <w:rPr>
          <w:rFonts w:hint="eastAsia"/>
          <w:i/>
          <w:sz w:val="24"/>
        </w:rPr>
        <w:t>Nature Communication</w:t>
      </w:r>
      <w:r w:rsidRPr="00D70529">
        <w:rPr>
          <w:rFonts w:hint="eastAsia"/>
          <w:i/>
          <w:sz w:val="24"/>
        </w:rPr>
        <w:t>、</w:t>
      </w:r>
      <w:r w:rsidRPr="00D70529">
        <w:rPr>
          <w:rFonts w:hint="eastAsia"/>
          <w:i/>
          <w:sz w:val="24"/>
        </w:rPr>
        <w:t>Renewable and Sustainable Energy Reviews</w:t>
      </w:r>
      <w:r w:rsidRPr="00D70529">
        <w:rPr>
          <w:rFonts w:hint="eastAsia"/>
          <w:i/>
          <w:sz w:val="24"/>
        </w:rPr>
        <w:t>、</w:t>
      </w:r>
      <w:r w:rsidRPr="00D70529">
        <w:rPr>
          <w:rFonts w:hint="eastAsia"/>
          <w:i/>
          <w:sz w:val="24"/>
        </w:rPr>
        <w:t>App</w:t>
      </w:r>
      <w:r w:rsidRPr="00D70529">
        <w:rPr>
          <w:i/>
          <w:sz w:val="24"/>
        </w:rPr>
        <w:t>lied Energy</w:t>
      </w:r>
      <w:r w:rsidRPr="00D70529">
        <w:rPr>
          <w:rFonts w:hint="eastAsia"/>
          <w:sz w:val="24"/>
        </w:rPr>
        <w:t>等期刊发文引用或发表评述文章，并给予了高度认同。同时本成果中的相关理论和评价体系还被政府间气候变化专门委员会</w:t>
      </w:r>
      <w:r w:rsidRPr="00D70529">
        <w:rPr>
          <w:rFonts w:hint="eastAsia"/>
          <w:sz w:val="24"/>
        </w:rPr>
        <w:t>(IPCC)</w:t>
      </w:r>
      <w:r w:rsidRPr="00D70529">
        <w:rPr>
          <w:rFonts w:hint="eastAsia"/>
          <w:sz w:val="24"/>
        </w:rPr>
        <w:t>《气候变化下全球变暖</w:t>
      </w:r>
      <w:r w:rsidRPr="00D70529">
        <w:rPr>
          <w:rFonts w:hint="eastAsia"/>
          <w:sz w:val="24"/>
        </w:rPr>
        <w:t>1.5</w:t>
      </w:r>
      <w:r w:rsidRPr="00D70529">
        <w:rPr>
          <w:rFonts w:hint="eastAsia"/>
          <w:sz w:val="24"/>
        </w:rPr>
        <w:t>℃特别报告》</w:t>
      </w:r>
      <w:r w:rsidRPr="00D70529">
        <w:rPr>
          <w:rFonts w:hint="eastAsia"/>
          <w:sz w:val="24"/>
        </w:rPr>
        <w:t>(Special Report on Global Warming of 1.5</w:t>
      </w:r>
      <w:r w:rsidRPr="00D70529">
        <w:rPr>
          <w:rFonts w:hint="eastAsia"/>
          <w:sz w:val="24"/>
        </w:rPr>
        <w:t>℃</w:t>
      </w:r>
      <w:r w:rsidRPr="00D70529">
        <w:rPr>
          <w:rFonts w:hint="eastAsia"/>
          <w:sz w:val="24"/>
        </w:rPr>
        <w:t>)</w:t>
      </w:r>
      <w:r w:rsidRPr="00D70529">
        <w:rPr>
          <w:rFonts w:hint="eastAsia"/>
          <w:sz w:val="24"/>
        </w:rPr>
        <w:t>引用。</w:t>
      </w:r>
    </w:p>
    <w:p w:rsidR="00D70529" w:rsidRPr="00D70529" w:rsidRDefault="00D70529" w:rsidP="00D70529">
      <w:pPr>
        <w:spacing w:line="360" w:lineRule="auto"/>
        <w:textAlignment w:val="baseline"/>
        <w:rPr>
          <w:rFonts w:ascii="黑体" w:eastAsia="黑体" w:hAnsi="黑体"/>
          <w:sz w:val="28"/>
          <w:szCs w:val="28"/>
        </w:rPr>
      </w:pPr>
      <w:r w:rsidRPr="00D70529">
        <w:rPr>
          <w:rFonts w:ascii="黑体" w:eastAsia="黑体" w:hAnsi="黑体" w:hint="eastAsia"/>
          <w:sz w:val="28"/>
          <w:szCs w:val="28"/>
        </w:rPr>
        <w:t>三、主要完成人情况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924"/>
        <w:gridCol w:w="2101"/>
        <w:gridCol w:w="1161"/>
        <w:gridCol w:w="1199"/>
        <w:gridCol w:w="2865"/>
      </w:tblGrid>
      <w:tr w:rsidR="00D70529" w:rsidRPr="00D70529" w:rsidTr="00CD12C7">
        <w:trPr>
          <w:trHeight w:val="567"/>
          <w:tblHeader/>
        </w:trPr>
        <w:tc>
          <w:tcPr>
            <w:tcW w:w="418" w:type="pct"/>
            <w:vAlign w:val="center"/>
          </w:tcPr>
          <w:p w:rsidR="00D70529" w:rsidRPr="00D70529" w:rsidRDefault="00D70529" w:rsidP="00D70529">
            <w:pPr>
              <w:adjustRightInd w:val="0"/>
              <w:snapToGrid w:val="0"/>
              <w:jc w:val="center"/>
              <w:rPr>
                <w:rFonts w:ascii="等线" w:eastAsia="等线" w:hAnsi="等线"/>
                <w:b/>
                <w:szCs w:val="21"/>
              </w:rPr>
            </w:pPr>
            <w:r w:rsidRPr="00D70529">
              <w:rPr>
                <w:rFonts w:ascii="等线" w:eastAsia="等线" w:hAnsi="等线" w:hint="eastAsia"/>
                <w:b/>
                <w:szCs w:val="21"/>
              </w:rPr>
              <w:lastRenderedPageBreak/>
              <w:t>序号</w:t>
            </w:r>
          </w:p>
        </w:tc>
        <w:tc>
          <w:tcPr>
            <w:tcW w:w="513" w:type="pct"/>
            <w:vAlign w:val="center"/>
          </w:tcPr>
          <w:p w:rsidR="00D70529" w:rsidRPr="00D70529" w:rsidRDefault="00D70529" w:rsidP="00D70529">
            <w:pPr>
              <w:adjustRightInd w:val="0"/>
              <w:snapToGrid w:val="0"/>
              <w:jc w:val="center"/>
              <w:rPr>
                <w:rFonts w:ascii="等线" w:eastAsia="等线" w:hAnsi="等线"/>
                <w:b/>
                <w:szCs w:val="21"/>
              </w:rPr>
            </w:pPr>
            <w:r w:rsidRPr="00D70529">
              <w:rPr>
                <w:rFonts w:ascii="等线" w:eastAsia="等线" w:hAnsi="等线"/>
                <w:b/>
                <w:szCs w:val="21"/>
              </w:rPr>
              <w:t>姓名</w:t>
            </w:r>
          </w:p>
        </w:tc>
        <w:tc>
          <w:tcPr>
            <w:tcW w:w="1167" w:type="pct"/>
            <w:vAlign w:val="center"/>
          </w:tcPr>
          <w:p w:rsidR="00D70529" w:rsidRPr="00D70529" w:rsidRDefault="00D70529" w:rsidP="00D70529">
            <w:pPr>
              <w:adjustRightInd w:val="0"/>
              <w:snapToGrid w:val="0"/>
              <w:jc w:val="center"/>
              <w:rPr>
                <w:rFonts w:ascii="等线" w:eastAsia="等线" w:hAnsi="等线"/>
                <w:b/>
                <w:szCs w:val="21"/>
              </w:rPr>
            </w:pPr>
            <w:r w:rsidRPr="00D70529">
              <w:rPr>
                <w:rFonts w:ascii="等线" w:eastAsia="等线" w:hAnsi="等线" w:hint="eastAsia"/>
                <w:b/>
                <w:szCs w:val="21"/>
              </w:rPr>
              <w:t>单位</w:t>
            </w:r>
          </w:p>
        </w:tc>
        <w:tc>
          <w:tcPr>
            <w:tcW w:w="645" w:type="pct"/>
            <w:vAlign w:val="center"/>
          </w:tcPr>
          <w:p w:rsidR="00D70529" w:rsidRPr="00D70529" w:rsidRDefault="00D70529" w:rsidP="00D70529">
            <w:pPr>
              <w:adjustRightInd w:val="0"/>
              <w:snapToGrid w:val="0"/>
              <w:jc w:val="center"/>
              <w:rPr>
                <w:rFonts w:ascii="等线" w:eastAsia="等线" w:hAnsi="等线"/>
                <w:b/>
                <w:szCs w:val="21"/>
              </w:rPr>
            </w:pPr>
            <w:r w:rsidRPr="00D70529">
              <w:rPr>
                <w:rFonts w:ascii="等线" w:eastAsia="等线" w:hAnsi="等线" w:hint="eastAsia"/>
                <w:b/>
                <w:szCs w:val="21"/>
              </w:rPr>
              <w:t>职称</w:t>
            </w:r>
          </w:p>
        </w:tc>
        <w:tc>
          <w:tcPr>
            <w:tcW w:w="666" w:type="pct"/>
            <w:vAlign w:val="center"/>
          </w:tcPr>
          <w:p w:rsidR="00D70529" w:rsidRPr="00D70529" w:rsidRDefault="00D70529" w:rsidP="00D70529">
            <w:pPr>
              <w:adjustRightInd w:val="0"/>
              <w:snapToGrid w:val="0"/>
              <w:jc w:val="center"/>
              <w:rPr>
                <w:rFonts w:ascii="等线" w:eastAsia="等线" w:hAnsi="等线"/>
                <w:b/>
                <w:szCs w:val="21"/>
              </w:rPr>
            </w:pPr>
            <w:r w:rsidRPr="00D70529">
              <w:rPr>
                <w:rFonts w:ascii="等线" w:eastAsia="等线" w:hAnsi="等线" w:hint="eastAsia"/>
                <w:b/>
                <w:szCs w:val="21"/>
              </w:rPr>
              <w:t>职务</w:t>
            </w:r>
          </w:p>
        </w:tc>
        <w:tc>
          <w:tcPr>
            <w:tcW w:w="1591" w:type="pct"/>
            <w:vAlign w:val="center"/>
          </w:tcPr>
          <w:p w:rsidR="00D70529" w:rsidRPr="00D70529" w:rsidRDefault="00D70529" w:rsidP="00D70529">
            <w:pPr>
              <w:adjustRightInd w:val="0"/>
              <w:snapToGrid w:val="0"/>
              <w:jc w:val="center"/>
              <w:rPr>
                <w:rFonts w:ascii="等线" w:eastAsia="等线" w:hAnsi="等线"/>
                <w:b/>
                <w:szCs w:val="21"/>
              </w:rPr>
            </w:pPr>
            <w:r w:rsidRPr="00D70529">
              <w:rPr>
                <w:rFonts w:ascii="等线" w:eastAsia="等线" w:hAnsi="等线"/>
                <w:b/>
                <w:szCs w:val="21"/>
              </w:rPr>
              <w:t>对项目</w:t>
            </w:r>
            <w:r w:rsidRPr="00D70529">
              <w:rPr>
                <w:rFonts w:ascii="等线" w:eastAsia="等线" w:hAnsi="等线" w:hint="eastAsia"/>
                <w:b/>
                <w:szCs w:val="21"/>
              </w:rPr>
              <w:t>的主要</w:t>
            </w:r>
            <w:r w:rsidRPr="00D70529">
              <w:rPr>
                <w:rFonts w:ascii="等线" w:eastAsia="等线" w:hAnsi="等线"/>
                <w:b/>
                <w:szCs w:val="21"/>
              </w:rPr>
              <w:t>技术贡献</w:t>
            </w:r>
          </w:p>
        </w:tc>
      </w:tr>
      <w:tr w:rsidR="00D70529" w:rsidRPr="00D70529" w:rsidTr="00CD12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8"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1</w:t>
            </w:r>
          </w:p>
        </w:tc>
        <w:tc>
          <w:tcPr>
            <w:tcW w:w="513"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tabs>
                <w:tab w:val="left" w:pos="5220"/>
              </w:tabs>
              <w:adjustRightInd w:val="0"/>
              <w:snapToGrid w:val="0"/>
              <w:rPr>
                <w:rFonts w:ascii="宋体" w:hAnsi="宋体"/>
                <w:szCs w:val="21"/>
              </w:rPr>
            </w:pPr>
            <w:r w:rsidRPr="00D70529">
              <w:rPr>
                <w:rFonts w:ascii="宋体" w:hAnsi="宋体" w:hint="eastAsia"/>
                <w:szCs w:val="21"/>
              </w:rPr>
              <w:t>刘伟国</w:t>
            </w:r>
          </w:p>
        </w:tc>
        <w:tc>
          <w:tcPr>
            <w:tcW w:w="1167"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西北农林科技大学</w:t>
            </w:r>
          </w:p>
        </w:tc>
        <w:tc>
          <w:tcPr>
            <w:tcW w:w="645"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副研究员</w:t>
            </w:r>
          </w:p>
        </w:tc>
        <w:tc>
          <w:tcPr>
            <w:tcW w:w="666"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无</w:t>
            </w:r>
          </w:p>
        </w:tc>
        <w:tc>
          <w:tcPr>
            <w:tcW w:w="1591"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提出了符合生物质能</w:t>
            </w:r>
            <w:proofErr w:type="gramStart"/>
            <w:r w:rsidRPr="00D70529">
              <w:rPr>
                <w:rFonts w:ascii="宋体" w:hAnsi="宋体" w:hint="eastAsia"/>
                <w:szCs w:val="21"/>
              </w:rPr>
              <w:t>源特点</w:t>
            </w:r>
            <w:proofErr w:type="gramEnd"/>
            <w:r w:rsidRPr="00D70529">
              <w:rPr>
                <w:rFonts w:ascii="宋体" w:hAnsi="宋体" w:hint="eastAsia"/>
                <w:szCs w:val="21"/>
              </w:rPr>
              <w:t>的碳排放核算理论，整合乐生态系统碳动态模型、大气碳循环模型，生命周期分析模型，构建了</w:t>
            </w:r>
            <w:proofErr w:type="gramStart"/>
            <w:r w:rsidRPr="00D70529">
              <w:rPr>
                <w:rFonts w:ascii="宋体" w:hAnsi="宋体" w:hint="eastAsia"/>
                <w:szCs w:val="21"/>
              </w:rPr>
              <w:t>生物质能源碳排放</w:t>
            </w:r>
            <w:proofErr w:type="gramEnd"/>
            <w:r w:rsidRPr="00D70529">
              <w:rPr>
                <w:rFonts w:ascii="宋体" w:hAnsi="宋体" w:hint="eastAsia"/>
                <w:szCs w:val="21"/>
              </w:rPr>
              <w:t>核算体系，核算了多种生物质能源的碳排放。</w:t>
            </w:r>
          </w:p>
        </w:tc>
      </w:tr>
      <w:tr w:rsidR="00D70529" w:rsidRPr="00D70529" w:rsidTr="00CD12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8"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2</w:t>
            </w:r>
          </w:p>
        </w:tc>
        <w:tc>
          <w:tcPr>
            <w:tcW w:w="513"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szCs w:val="21"/>
              </w:rPr>
            </w:pPr>
            <w:r w:rsidRPr="00D70529">
              <w:rPr>
                <w:szCs w:val="21"/>
              </w:rPr>
              <w:t>余振</w:t>
            </w:r>
          </w:p>
        </w:tc>
        <w:tc>
          <w:tcPr>
            <w:tcW w:w="1167"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szCs w:val="21"/>
              </w:rPr>
            </w:pPr>
            <w:r w:rsidRPr="00D70529">
              <w:rPr>
                <w:szCs w:val="21"/>
              </w:rPr>
              <w:t>南京信息工程大学</w:t>
            </w:r>
          </w:p>
        </w:tc>
        <w:tc>
          <w:tcPr>
            <w:tcW w:w="645"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szCs w:val="21"/>
              </w:rPr>
            </w:pPr>
            <w:r w:rsidRPr="00D70529">
              <w:rPr>
                <w:szCs w:val="21"/>
              </w:rPr>
              <w:t>教授</w:t>
            </w:r>
          </w:p>
        </w:tc>
        <w:tc>
          <w:tcPr>
            <w:tcW w:w="666"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szCs w:val="21"/>
              </w:rPr>
            </w:pPr>
            <w:r w:rsidRPr="00D70529">
              <w:rPr>
                <w:szCs w:val="21"/>
              </w:rPr>
              <w:t>无</w:t>
            </w:r>
          </w:p>
        </w:tc>
        <w:tc>
          <w:tcPr>
            <w:tcW w:w="1591"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szCs w:val="21"/>
              </w:rPr>
            </w:pPr>
            <w:r w:rsidRPr="00D70529">
              <w:rPr>
                <w:rFonts w:hint="eastAsia"/>
                <w:szCs w:val="21"/>
              </w:rPr>
              <w:t>参与</w:t>
            </w:r>
            <w:r w:rsidRPr="00D70529">
              <w:rPr>
                <w:rFonts w:ascii="宋体" w:hAnsi="宋体" w:hint="eastAsia"/>
                <w:szCs w:val="21"/>
              </w:rPr>
              <w:t>完成了</w:t>
            </w:r>
            <w:proofErr w:type="gramStart"/>
            <w:r w:rsidRPr="00D70529">
              <w:rPr>
                <w:rFonts w:ascii="宋体" w:hAnsi="宋体" w:hint="eastAsia"/>
                <w:szCs w:val="21"/>
              </w:rPr>
              <w:t>生物质能源碳排放</w:t>
            </w:r>
            <w:proofErr w:type="gramEnd"/>
            <w:r w:rsidRPr="00D70529">
              <w:rPr>
                <w:rFonts w:ascii="宋体" w:hAnsi="宋体" w:hint="eastAsia"/>
                <w:szCs w:val="21"/>
              </w:rPr>
              <w:t>核算理论，</w:t>
            </w:r>
            <w:r w:rsidRPr="00D70529">
              <w:rPr>
                <w:szCs w:val="21"/>
              </w:rPr>
              <w:t>应用</w:t>
            </w:r>
            <w:proofErr w:type="gramStart"/>
            <w:r w:rsidRPr="00D70529">
              <w:rPr>
                <w:szCs w:val="21"/>
              </w:rPr>
              <w:t>生物质能源碳排放</w:t>
            </w:r>
            <w:proofErr w:type="gramEnd"/>
            <w:r w:rsidRPr="00D70529">
              <w:rPr>
                <w:szCs w:val="21"/>
              </w:rPr>
              <w:t>评估框架评估</w:t>
            </w:r>
            <w:proofErr w:type="gramStart"/>
            <w:r w:rsidRPr="00D70529">
              <w:rPr>
                <w:szCs w:val="21"/>
              </w:rPr>
              <w:t>森林固碳与</w:t>
            </w:r>
            <w:proofErr w:type="gramEnd"/>
            <w:r w:rsidRPr="00D70529">
              <w:rPr>
                <w:szCs w:val="21"/>
              </w:rPr>
              <w:t>木材</w:t>
            </w:r>
            <w:proofErr w:type="gramStart"/>
            <w:r w:rsidRPr="00D70529">
              <w:rPr>
                <w:szCs w:val="21"/>
              </w:rPr>
              <w:t>产品固碳的</w:t>
            </w:r>
            <w:proofErr w:type="gramEnd"/>
            <w:r w:rsidRPr="00D70529">
              <w:rPr>
                <w:szCs w:val="21"/>
              </w:rPr>
              <w:t>减排效应，并发表相关研究成果于国际著名期刊</w:t>
            </w:r>
            <w:r w:rsidRPr="00D70529">
              <w:rPr>
                <w:szCs w:val="21"/>
              </w:rPr>
              <w:t>Nature Communications</w:t>
            </w:r>
            <w:r w:rsidRPr="00D70529">
              <w:rPr>
                <w:szCs w:val="21"/>
              </w:rPr>
              <w:t>。</w:t>
            </w:r>
          </w:p>
        </w:tc>
      </w:tr>
      <w:tr w:rsidR="00D70529" w:rsidRPr="00D70529" w:rsidTr="00CD12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8"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3</w:t>
            </w:r>
          </w:p>
        </w:tc>
        <w:tc>
          <w:tcPr>
            <w:tcW w:w="513"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徐俊明</w:t>
            </w:r>
          </w:p>
        </w:tc>
        <w:tc>
          <w:tcPr>
            <w:tcW w:w="1167"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中国林业科学研究院林产化学工业研究所</w:t>
            </w:r>
          </w:p>
        </w:tc>
        <w:tc>
          <w:tcPr>
            <w:tcW w:w="645"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研究员</w:t>
            </w:r>
          </w:p>
        </w:tc>
        <w:tc>
          <w:tcPr>
            <w:tcW w:w="666"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副所长</w:t>
            </w:r>
          </w:p>
        </w:tc>
        <w:tc>
          <w:tcPr>
            <w:tcW w:w="1591"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参与完成了</w:t>
            </w:r>
            <w:proofErr w:type="gramStart"/>
            <w:r w:rsidRPr="00D70529">
              <w:rPr>
                <w:rFonts w:ascii="宋体" w:hAnsi="宋体" w:hint="eastAsia"/>
                <w:szCs w:val="21"/>
              </w:rPr>
              <w:t>生物质能源碳排放</w:t>
            </w:r>
            <w:proofErr w:type="gramEnd"/>
            <w:r w:rsidRPr="00D70529">
              <w:rPr>
                <w:rFonts w:ascii="宋体" w:hAnsi="宋体" w:hint="eastAsia"/>
                <w:szCs w:val="21"/>
              </w:rPr>
              <w:t>核算理论，负责核算体系应用过程中生物质转化关键化学过程的梳理，以及物料与能源消耗的估算。</w:t>
            </w:r>
          </w:p>
        </w:tc>
      </w:tr>
      <w:tr w:rsidR="00D70529" w:rsidRPr="00D70529" w:rsidTr="00CD12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8"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4</w:t>
            </w:r>
          </w:p>
        </w:tc>
        <w:tc>
          <w:tcPr>
            <w:tcW w:w="513"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王奎</w:t>
            </w:r>
          </w:p>
        </w:tc>
        <w:tc>
          <w:tcPr>
            <w:tcW w:w="1167"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中国林业科学研究院林产化学工业研究所</w:t>
            </w:r>
          </w:p>
        </w:tc>
        <w:tc>
          <w:tcPr>
            <w:tcW w:w="645"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研究员</w:t>
            </w:r>
          </w:p>
        </w:tc>
        <w:tc>
          <w:tcPr>
            <w:tcW w:w="666"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szCs w:val="21"/>
              </w:rPr>
              <w:t>生物质能源化学研究室主任</w:t>
            </w:r>
          </w:p>
        </w:tc>
        <w:tc>
          <w:tcPr>
            <w:tcW w:w="1591"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参与了核算体系应用过程中生物质转化关键化学过程的梳理及其物料与能源消耗的估算。</w:t>
            </w:r>
          </w:p>
        </w:tc>
      </w:tr>
      <w:tr w:rsidR="00D70529" w:rsidRPr="00D70529" w:rsidTr="00CD12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8"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5</w:t>
            </w:r>
          </w:p>
        </w:tc>
        <w:tc>
          <w:tcPr>
            <w:tcW w:w="513"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李强</w:t>
            </w:r>
          </w:p>
        </w:tc>
        <w:tc>
          <w:tcPr>
            <w:tcW w:w="1167"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西北农林科技大学</w:t>
            </w:r>
          </w:p>
        </w:tc>
        <w:tc>
          <w:tcPr>
            <w:tcW w:w="645"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教授</w:t>
            </w:r>
          </w:p>
        </w:tc>
        <w:tc>
          <w:tcPr>
            <w:tcW w:w="666"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生态预测与全球变化研究中心主任</w:t>
            </w:r>
          </w:p>
        </w:tc>
        <w:tc>
          <w:tcPr>
            <w:tcW w:w="1591"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评估生物质储量，协助改进与完善</w:t>
            </w:r>
            <w:proofErr w:type="gramStart"/>
            <w:r w:rsidRPr="00D70529">
              <w:rPr>
                <w:rFonts w:ascii="宋体" w:hAnsi="宋体" w:hint="eastAsia"/>
                <w:szCs w:val="21"/>
              </w:rPr>
              <w:t>生物质能源碳排放</w:t>
            </w:r>
            <w:proofErr w:type="gramEnd"/>
            <w:r w:rsidRPr="00D70529">
              <w:rPr>
                <w:rFonts w:ascii="宋体" w:hAnsi="宋体" w:hint="eastAsia"/>
                <w:szCs w:val="21"/>
              </w:rPr>
              <w:t>核算理论。</w:t>
            </w:r>
          </w:p>
        </w:tc>
      </w:tr>
      <w:tr w:rsidR="00D70529" w:rsidRPr="00D70529" w:rsidTr="00CD12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8"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6</w:t>
            </w:r>
          </w:p>
        </w:tc>
        <w:tc>
          <w:tcPr>
            <w:tcW w:w="513"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闫琰</w:t>
            </w:r>
          </w:p>
        </w:tc>
        <w:tc>
          <w:tcPr>
            <w:tcW w:w="1167"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西北农林科技大学</w:t>
            </w:r>
          </w:p>
        </w:tc>
        <w:tc>
          <w:tcPr>
            <w:tcW w:w="645"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副教授</w:t>
            </w:r>
          </w:p>
        </w:tc>
        <w:tc>
          <w:tcPr>
            <w:tcW w:w="666"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无</w:t>
            </w:r>
          </w:p>
        </w:tc>
        <w:tc>
          <w:tcPr>
            <w:tcW w:w="1591"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构建了整合大气碳循环模型与生命周期评估模型的评估框架，提出了未来碳排放的核算方法。</w:t>
            </w:r>
          </w:p>
        </w:tc>
      </w:tr>
      <w:tr w:rsidR="00D70529" w:rsidRPr="00D70529" w:rsidTr="00CD12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8"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7</w:t>
            </w:r>
          </w:p>
        </w:tc>
        <w:tc>
          <w:tcPr>
            <w:tcW w:w="513"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张寒</w:t>
            </w:r>
          </w:p>
        </w:tc>
        <w:tc>
          <w:tcPr>
            <w:tcW w:w="1167"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西北农林科技大学</w:t>
            </w:r>
          </w:p>
        </w:tc>
        <w:tc>
          <w:tcPr>
            <w:tcW w:w="645"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教授</w:t>
            </w:r>
          </w:p>
        </w:tc>
        <w:tc>
          <w:tcPr>
            <w:tcW w:w="666"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经济与管理学院副院长</w:t>
            </w:r>
          </w:p>
        </w:tc>
        <w:tc>
          <w:tcPr>
            <w:tcW w:w="1591"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参与生物质储量评估和生物质分解的模型模拟。</w:t>
            </w:r>
          </w:p>
        </w:tc>
      </w:tr>
      <w:tr w:rsidR="00D70529" w:rsidRPr="00D70529" w:rsidTr="00CD12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18"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8</w:t>
            </w:r>
          </w:p>
        </w:tc>
        <w:tc>
          <w:tcPr>
            <w:tcW w:w="513"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郝红科</w:t>
            </w:r>
          </w:p>
        </w:tc>
        <w:tc>
          <w:tcPr>
            <w:tcW w:w="1167"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西北农林科技大学</w:t>
            </w:r>
          </w:p>
        </w:tc>
        <w:tc>
          <w:tcPr>
            <w:tcW w:w="645"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副教授</w:t>
            </w:r>
          </w:p>
        </w:tc>
        <w:tc>
          <w:tcPr>
            <w:tcW w:w="666"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无</w:t>
            </w:r>
          </w:p>
        </w:tc>
        <w:tc>
          <w:tcPr>
            <w:tcW w:w="1591" w:type="pct"/>
            <w:tcBorders>
              <w:top w:val="single" w:sz="4" w:space="0" w:color="auto"/>
              <w:left w:val="single" w:sz="4" w:space="0" w:color="auto"/>
              <w:bottom w:val="single" w:sz="4" w:space="0" w:color="auto"/>
              <w:right w:val="single" w:sz="4" w:space="0" w:color="auto"/>
            </w:tcBorders>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结合生命周期评估与生态系统碳动态、大气碳循环模型的整合方法，改进了</w:t>
            </w:r>
            <w:proofErr w:type="gramStart"/>
            <w:r w:rsidRPr="00D70529">
              <w:rPr>
                <w:rFonts w:ascii="宋体" w:hAnsi="宋体" w:hint="eastAsia"/>
                <w:szCs w:val="21"/>
              </w:rPr>
              <w:t>生物质能源碳排放</w:t>
            </w:r>
            <w:proofErr w:type="gramEnd"/>
            <w:r w:rsidRPr="00D70529">
              <w:rPr>
                <w:rFonts w:ascii="宋体" w:hAnsi="宋体" w:hint="eastAsia"/>
                <w:szCs w:val="21"/>
              </w:rPr>
              <w:t>核算体系 。</w:t>
            </w:r>
          </w:p>
        </w:tc>
      </w:tr>
    </w:tbl>
    <w:p w:rsidR="00D70529" w:rsidRPr="00D70529" w:rsidRDefault="00D70529" w:rsidP="00D70529">
      <w:pPr>
        <w:spacing w:line="360" w:lineRule="auto"/>
        <w:textAlignment w:val="baseline"/>
        <w:rPr>
          <w:rFonts w:ascii="黑体" w:eastAsia="黑体" w:hAnsi="黑体"/>
          <w:sz w:val="28"/>
          <w:szCs w:val="28"/>
        </w:rPr>
      </w:pPr>
      <w:r w:rsidRPr="00D70529">
        <w:rPr>
          <w:rFonts w:ascii="黑体" w:eastAsia="黑体" w:hAnsi="黑体" w:hint="eastAsia"/>
          <w:sz w:val="28"/>
          <w:szCs w:val="28"/>
        </w:rPr>
        <w:t>四、主要完成单位情况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419"/>
        <w:gridCol w:w="3933"/>
      </w:tblGrid>
      <w:tr w:rsidR="00D70529" w:rsidRPr="00D70529" w:rsidTr="00CD12C7">
        <w:trPr>
          <w:trHeight w:val="567"/>
        </w:trPr>
        <w:tc>
          <w:tcPr>
            <w:tcW w:w="2028" w:type="pct"/>
            <w:vAlign w:val="center"/>
          </w:tcPr>
          <w:p w:rsidR="00D70529" w:rsidRPr="00D70529" w:rsidRDefault="00D70529" w:rsidP="00D70529">
            <w:pPr>
              <w:adjustRightInd w:val="0"/>
              <w:snapToGrid w:val="0"/>
              <w:jc w:val="center"/>
              <w:rPr>
                <w:b/>
                <w:szCs w:val="21"/>
              </w:rPr>
            </w:pPr>
            <w:r w:rsidRPr="00D70529">
              <w:rPr>
                <w:rFonts w:hint="eastAsia"/>
                <w:b/>
                <w:szCs w:val="21"/>
              </w:rPr>
              <w:t>单位名称</w:t>
            </w:r>
          </w:p>
        </w:tc>
        <w:tc>
          <w:tcPr>
            <w:tcW w:w="788" w:type="pct"/>
            <w:vAlign w:val="center"/>
          </w:tcPr>
          <w:p w:rsidR="00D70529" w:rsidRPr="00D70529" w:rsidRDefault="00D70529" w:rsidP="00D70529">
            <w:pPr>
              <w:adjustRightInd w:val="0"/>
              <w:snapToGrid w:val="0"/>
              <w:jc w:val="center"/>
              <w:rPr>
                <w:b/>
                <w:szCs w:val="21"/>
              </w:rPr>
            </w:pPr>
            <w:r w:rsidRPr="00D70529">
              <w:rPr>
                <w:rFonts w:hint="eastAsia"/>
                <w:b/>
                <w:szCs w:val="21"/>
              </w:rPr>
              <w:t>排名</w:t>
            </w:r>
          </w:p>
        </w:tc>
        <w:tc>
          <w:tcPr>
            <w:tcW w:w="2184" w:type="pct"/>
            <w:vAlign w:val="center"/>
          </w:tcPr>
          <w:p w:rsidR="00D70529" w:rsidRPr="00D70529" w:rsidRDefault="00D70529" w:rsidP="00D70529">
            <w:pPr>
              <w:adjustRightInd w:val="0"/>
              <w:snapToGrid w:val="0"/>
              <w:jc w:val="center"/>
              <w:rPr>
                <w:b/>
                <w:szCs w:val="21"/>
              </w:rPr>
            </w:pPr>
            <w:r w:rsidRPr="00D70529">
              <w:rPr>
                <w:rFonts w:hint="eastAsia"/>
                <w:b/>
                <w:szCs w:val="21"/>
              </w:rPr>
              <w:t>主要贡献</w:t>
            </w:r>
          </w:p>
        </w:tc>
      </w:tr>
      <w:tr w:rsidR="00D70529" w:rsidRPr="00D70529" w:rsidTr="00CD12C7">
        <w:trPr>
          <w:trHeight w:val="567"/>
        </w:trPr>
        <w:tc>
          <w:tcPr>
            <w:tcW w:w="2028" w:type="pct"/>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西北农林科技大学</w:t>
            </w:r>
          </w:p>
        </w:tc>
        <w:tc>
          <w:tcPr>
            <w:tcW w:w="788" w:type="pct"/>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1</w:t>
            </w:r>
          </w:p>
        </w:tc>
        <w:tc>
          <w:tcPr>
            <w:tcW w:w="2184" w:type="pct"/>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作为项目的负责单位，主要贡献如下：</w:t>
            </w:r>
          </w:p>
          <w:p w:rsidR="00D70529" w:rsidRPr="00D70529" w:rsidRDefault="00D70529" w:rsidP="00D70529">
            <w:pPr>
              <w:adjustRightInd w:val="0"/>
              <w:snapToGrid w:val="0"/>
              <w:rPr>
                <w:rFonts w:ascii="宋体" w:hAnsi="宋体"/>
                <w:szCs w:val="21"/>
              </w:rPr>
            </w:pPr>
            <w:r w:rsidRPr="00D70529">
              <w:rPr>
                <w:rFonts w:ascii="宋体" w:hAnsi="宋体" w:hint="eastAsia"/>
                <w:szCs w:val="21"/>
              </w:rPr>
              <w:t>依据生物质产品低碳、可持续的特点，开发生物质产品碳排放核算的理论体系；</w:t>
            </w:r>
          </w:p>
          <w:p w:rsidR="00D70529" w:rsidRPr="00D70529" w:rsidRDefault="00D70529" w:rsidP="00D70529">
            <w:pPr>
              <w:adjustRightInd w:val="0"/>
              <w:snapToGrid w:val="0"/>
              <w:rPr>
                <w:rFonts w:ascii="宋体" w:hAnsi="宋体"/>
                <w:szCs w:val="21"/>
              </w:rPr>
            </w:pPr>
            <w:r w:rsidRPr="00D70529">
              <w:rPr>
                <w:rFonts w:ascii="宋体" w:hAnsi="宋体" w:hint="eastAsia"/>
                <w:szCs w:val="21"/>
              </w:rPr>
              <w:t>整合生命周期评估模型、生态系统碳动态模型、大气碳循环模型，构建和完善生物</w:t>
            </w:r>
            <w:r w:rsidRPr="00D70529">
              <w:rPr>
                <w:rFonts w:ascii="宋体" w:hAnsi="宋体" w:hint="eastAsia"/>
                <w:szCs w:val="21"/>
              </w:rPr>
              <w:lastRenderedPageBreak/>
              <w:t>质产品碳排放核算体系；</w:t>
            </w:r>
          </w:p>
          <w:p w:rsidR="00D70529" w:rsidRPr="00D70529" w:rsidRDefault="00D70529" w:rsidP="00D70529">
            <w:pPr>
              <w:adjustRightInd w:val="0"/>
              <w:snapToGrid w:val="0"/>
              <w:rPr>
                <w:rFonts w:ascii="宋体" w:hAnsi="宋体"/>
                <w:szCs w:val="21"/>
              </w:rPr>
            </w:pPr>
            <w:r w:rsidRPr="00D70529">
              <w:rPr>
                <w:rFonts w:ascii="宋体" w:hAnsi="宋体" w:hint="eastAsia"/>
                <w:szCs w:val="21"/>
              </w:rPr>
              <w:t>应用该核算体系，开展针对陕西、全国，乃至全球的不同生物质产品类型的碳排放核算。</w:t>
            </w:r>
          </w:p>
        </w:tc>
      </w:tr>
      <w:tr w:rsidR="00D70529" w:rsidRPr="00D70529" w:rsidTr="00CD12C7">
        <w:trPr>
          <w:trHeight w:val="567"/>
        </w:trPr>
        <w:tc>
          <w:tcPr>
            <w:tcW w:w="2028" w:type="pct"/>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lastRenderedPageBreak/>
              <w:t>南京信息工程大学</w:t>
            </w:r>
          </w:p>
        </w:tc>
        <w:tc>
          <w:tcPr>
            <w:tcW w:w="788" w:type="pct"/>
            <w:vAlign w:val="center"/>
          </w:tcPr>
          <w:p w:rsidR="00D70529" w:rsidRPr="00D70529" w:rsidRDefault="00D70529" w:rsidP="00D70529">
            <w:pPr>
              <w:adjustRightInd w:val="0"/>
              <w:snapToGrid w:val="0"/>
              <w:rPr>
                <w:rFonts w:ascii="宋体" w:hAnsi="宋体"/>
                <w:szCs w:val="21"/>
              </w:rPr>
            </w:pPr>
            <w:r w:rsidRPr="00D70529">
              <w:rPr>
                <w:rFonts w:ascii="宋体" w:hAnsi="宋体"/>
                <w:szCs w:val="21"/>
              </w:rPr>
              <w:t>2</w:t>
            </w:r>
          </w:p>
        </w:tc>
        <w:tc>
          <w:tcPr>
            <w:tcW w:w="2184" w:type="pct"/>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参与生物质产品碳排放核算理论体系的开发；并应用该框架对不同生物质产品的碳排放展开核算。</w:t>
            </w:r>
          </w:p>
        </w:tc>
      </w:tr>
      <w:tr w:rsidR="00D70529" w:rsidRPr="00D70529" w:rsidTr="00CD12C7">
        <w:trPr>
          <w:trHeight w:val="567"/>
        </w:trPr>
        <w:tc>
          <w:tcPr>
            <w:tcW w:w="2028" w:type="pct"/>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中国林业科学研究院林产化学工业研究所</w:t>
            </w:r>
          </w:p>
        </w:tc>
        <w:tc>
          <w:tcPr>
            <w:tcW w:w="788" w:type="pct"/>
            <w:vAlign w:val="center"/>
          </w:tcPr>
          <w:p w:rsidR="00D70529" w:rsidRPr="00D70529" w:rsidRDefault="00D70529" w:rsidP="00D70529">
            <w:pPr>
              <w:adjustRightInd w:val="0"/>
              <w:snapToGrid w:val="0"/>
              <w:rPr>
                <w:rFonts w:ascii="宋体" w:hAnsi="宋体"/>
                <w:szCs w:val="21"/>
              </w:rPr>
            </w:pPr>
            <w:r w:rsidRPr="00D70529">
              <w:rPr>
                <w:rFonts w:ascii="宋体" w:hAnsi="宋体"/>
                <w:szCs w:val="21"/>
              </w:rPr>
              <w:t>3</w:t>
            </w:r>
          </w:p>
        </w:tc>
        <w:tc>
          <w:tcPr>
            <w:tcW w:w="2184" w:type="pct"/>
            <w:vAlign w:val="center"/>
          </w:tcPr>
          <w:p w:rsidR="00D70529" w:rsidRPr="00D70529" w:rsidRDefault="00D70529" w:rsidP="00D70529">
            <w:pPr>
              <w:adjustRightInd w:val="0"/>
              <w:snapToGrid w:val="0"/>
              <w:rPr>
                <w:rFonts w:ascii="宋体" w:hAnsi="宋体"/>
                <w:szCs w:val="21"/>
              </w:rPr>
            </w:pPr>
            <w:r w:rsidRPr="00D70529">
              <w:rPr>
                <w:rFonts w:ascii="宋体" w:hAnsi="宋体" w:hint="eastAsia"/>
                <w:szCs w:val="21"/>
              </w:rPr>
              <w:t>参与生物质产品碳排放核算理论体系的开发；</w:t>
            </w:r>
          </w:p>
          <w:p w:rsidR="00D70529" w:rsidRPr="00D70529" w:rsidRDefault="00D70529" w:rsidP="00D70529">
            <w:pPr>
              <w:adjustRightInd w:val="0"/>
              <w:snapToGrid w:val="0"/>
              <w:rPr>
                <w:rFonts w:ascii="宋体" w:hAnsi="宋体"/>
                <w:szCs w:val="21"/>
              </w:rPr>
            </w:pPr>
            <w:r w:rsidRPr="00D70529">
              <w:rPr>
                <w:rFonts w:ascii="宋体" w:hAnsi="宋体" w:hint="eastAsia"/>
                <w:szCs w:val="21"/>
              </w:rPr>
              <w:t>在评估体系应用过程中，负责生物质转化关键化学过程的梳理及其物料与能源消耗的估算。</w:t>
            </w:r>
          </w:p>
        </w:tc>
      </w:tr>
    </w:tbl>
    <w:p w:rsidR="002B5EFF" w:rsidRDefault="002B5EFF" w:rsidP="00F537C9">
      <w:pPr>
        <w:spacing w:line="360" w:lineRule="auto"/>
        <w:textAlignment w:val="baseline"/>
        <w:rPr>
          <w:rFonts w:ascii="黑体" w:eastAsia="黑体" w:hAnsi="黑体"/>
          <w:sz w:val="28"/>
          <w:szCs w:val="28"/>
        </w:rPr>
      </w:pPr>
      <w:bookmarkStart w:id="0" w:name="_GoBack"/>
      <w:bookmarkEnd w:id="0"/>
    </w:p>
    <w:sectPr w:rsidR="002B5EFF">
      <w:footerReference w:type="default" r:id="rId8"/>
      <w:pgSz w:w="11906" w:h="16838"/>
      <w:pgMar w:top="1701" w:right="1531"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C7F" w:rsidRDefault="00152C7F">
      <w:r>
        <w:separator/>
      </w:r>
    </w:p>
  </w:endnote>
  <w:endnote w:type="continuationSeparator" w:id="0">
    <w:p w:rsidR="00152C7F" w:rsidRDefault="0015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6259"/>
    </w:sdtPr>
    <w:sdtEndPr/>
    <w:sdtContent>
      <w:p w:rsidR="002A5789" w:rsidRDefault="00545B40">
        <w:pPr>
          <w:pStyle w:val="a7"/>
          <w:jc w:val="center"/>
        </w:pPr>
        <w:r>
          <w:fldChar w:fldCharType="begin"/>
        </w:r>
        <w:r>
          <w:instrText xml:space="preserve"> PAGE   \* MERGEFORMAT </w:instrText>
        </w:r>
        <w:r>
          <w:fldChar w:fldCharType="separate"/>
        </w:r>
        <w:r w:rsidR="00D70529" w:rsidRPr="00D70529">
          <w:rPr>
            <w:noProof/>
            <w:lang w:val="zh-CN"/>
          </w:rPr>
          <w:t>4</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C7F" w:rsidRDefault="00152C7F">
      <w:r>
        <w:separator/>
      </w:r>
    </w:p>
  </w:footnote>
  <w:footnote w:type="continuationSeparator" w:id="0">
    <w:p w:rsidR="00152C7F" w:rsidRDefault="00152C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722B7A"/>
    <w:multiLevelType w:val="singleLevel"/>
    <w:tmpl w:val="80722B7A"/>
    <w:lvl w:ilvl="0">
      <w:start w:val="1"/>
      <w:numFmt w:val="decimal"/>
      <w:lvlText w:val="%1."/>
      <w:lvlJc w:val="left"/>
      <w:pPr>
        <w:tabs>
          <w:tab w:val="left" w:pos="312"/>
        </w:tabs>
      </w:pPr>
    </w:lvl>
  </w:abstractNum>
  <w:abstractNum w:abstractNumId="1">
    <w:nsid w:val="88B5EE29"/>
    <w:multiLevelType w:val="singleLevel"/>
    <w:tmpl w:val="88B5EE29"/>
    <w:lvl w:ilvl="0">
      <w:start w:val="1"/>
      <w:numFmt w:val="decimal"/>
      <w:lvlText w:val="%1."/>
      <w:lvlJc w:val="left"/>
      <w:pPr>
        <w:tabs>
          <w:tab w:val="left" w:pos="312"/>
        </w:tabs>
      </w:pPr>
    </w:lvl>
  </w:abstractNum>
  <w:abstractNum w:abstractNumId="2">
    <w:nsid w:val="8CA918AB"/>
    <w:multiLevelType w:val="singleLevel"/>
    <w:tmpl w:val="8CA918AB"/>
    <w:lvl w:ilvl="0">
      <w:start w:val="1"/>
      <w:numFmt w:val="decimal"/>
      <w:suff w:val="space"/>
      <w:lvlText w:val="%1."/>
      <w:lvlJc w:val="left"/>
    </w:lvl>
  </w:abstractNum>
  <w:abstractNum w:abstractNumId="3">
    <w:nsid w:val="9887FCC7"/>
    <w:multiLevelType w:val="singleLevel"/>
    <w:tmpl w:val="9887FCC7"/>
    <w:lvl w:ilvl="0">
      <w:start w:val="1"/>
      <w:numFmt w:val="decimal"/>
      <w:suff w:val="space"/>
      <w:lvlText w:val="%1."/>
      <w:lvlJc w:val="left"/>
    </w:lvl>
  </w:abstractNum>
  <w:abstractNum w:abstractNumId="4">
    <w:nsid w:val="AAF6E8F5"/>
    <w:multiLevelType w:val="singleLevel"/>
    <w:tmpl w:val="AAF6E8F5"/>
    <w:lvl w:ilvl="0">
      <w:start w:val="1"/>
      <w:numFmt w:val="decimal"/>
      <w:lvlText w:val="%1."/>
      <w:lvlJc w:val="left"/>
      <w:pPr>
        <w:tabs>
          <w:tab w:val="left" w:pos="312"/>
        </w:tabs>
      </w:pPr>
    </w:lvl>
  </w:abstractNum>
  <w:abstractNum w:abstractNumId="5">
    <w:nsid w:val="AB9AD2A3"/>
    <w:multiLevelType w:val="singleLevel"/>
    <w:tmpl w:val="AB9AD2A3"/>
    <w:lvl w:ilvl="0">
      <w:start w:val="1"/>
      <w:numFmt w:val="decimal"/>
      <w:suff w:val="space"/>
      <w:lvlText w:val="%1."/>
      <w:lvlJc w:val="left"/>
    </w:lvl>
  </w:abstractNum>
  <w:abstractNum w:abstractNumId="6">
    <w:nsid w:val="AC7B80E8"/>
    <w:multiLevelType w:val="singleLevel"/>
    <w:tmpl w:val="AC7B80E8"/>
    <w:lvl w:ilvl="0">
      <w:start w:val="1"/>
      <w:numFmt w:val="decimal"/>
      <w:lvlText w:val="%1."/>
      <w:lvlJc w:val="left"/>
      <w:pPr>
        <w:tabs>
          <w:tab w:val="left" w:pos="312"/>
        </w:tabs>
      </w:pPr>
    </w:lvl>
  </w:abstractNum>
  <w:abstractNum w:abstractNumId="7">
    <w:nsid w:val="B2145530"/>
    <w:multiLevelType w:val="singleLevel"/>
    <w:tmpl w:val="B2145530"/>
    <w:lvl w:ilvl="0">
      <w:start w:val="1"/>
      <w:numFmt w:val="decimal"/>
      <w:suff w:val="space"/>
      <w:lvlText w:val="%1."/>
      <w:lvlJc w:val="left"/>
    </w:lvl>
  </w:abstractNum>
  <w:abstractNum w:abstractNumId="8">
    <w:nsid w:val="B5EC1A87"/>
    <w:multiLevelType w:val="singleLevel"/>
    <w:tmpl w:val="B5EC1A87"/>
    <w:lvl w:ilvl="0">
      <w:start w:val="1"/>
      <w:numFmt w:val="decimal"/>
      <w:lvlText w:val="%1."/>
      <w:lvlJc w:val="left"/>
      <w:pPr>
        <w:tabs>
          <w:tab w:val="left" w:pos="312"/>
        </w:tabs>
      </w:pPr>
    </w:lvl>
  </w:abstractNum>
  <w:abstractNum w:abstractNumId="9">
    <w:nsid w:val="B8DD96BB"/>
    <w:multiLevelType w:val="singleLevel"/>
    <w:tmpl w:val="B8DD96BB"/>
    <w:lvl w:ilvl="0">
      <w:start w:val="1"/>
      <w:numFmt w:val="decimal"/>
      <w:lvlText w:val="%1."/>
      <w:lvlJc w:val="left"/>
      <w:pPr>
        <w:tabs>
          <w:tab w:val="left" w:pos="312"/>
        </w:tabs>
      </w:pPr>
    </w:lvl>
  </w:abstractNum>
  <w:abstractNum w:abstractNumId="10">
    <w:nsid w:val="CDF1C24C"/>
    <w:multiLevelType w:val="singleLevel"/>
    <w:tmpl w:val="CDF1C24C"/>
    <w:lvl w:ilvl="0">
      <w:start w:val="1"/>
      <w:numFmt w:val="decimal"/>
      <w:suff w:val="space"/>
      <w:lvlText w:val="%1."/>
      <w:lvlJc w:val="left"/>
    </w:lvl>
  </w:abstractNum>
  <w:abstractNum w:abstractNumId="11">
    <w:nsid w:val="D930F18A"/>
    <w:multiLevelType w:val="singleLevel"/>
    <w:tmpl w:val="D930F18A"/>
    <w:lvl w:ilvl="0">
      <w:start w:val="1"/>
      <w:numFmt w:val="decimal"/>
      <w:lvlText w:val="%1."/>
      <w:lvlJc w:val="left"/>
      <w:pPr>
        <w:tabs>
          <w:tab w:val="left" w:pos="312"/>
        </w:tabs>
      </w:pPr>
    </w:lvl>
  </w:abstractNum>
  <w:abstractNum w:abstractNumId="12">
    <w:nsid w:val="DFD0529E"/>
    <w:multiLevelType w:val="singleLevel"/>
    <w:tmpl w:val="DFD0529E"/>
    <w:lvl w:ilvl="0">
      <w:start w:val="1"/>
      <w:numFmt w:val="decimal"/>
      <w:lvlText w:val="%1."/>
      <w:lvlJc w:val="left"/>
      <w:pPr>
        <w:tabs>
          <w:tab w:val="left" w:pos="312"/>
        </w:tabs>
      </w:pPr>
    </w:lvl>
  </w:abstractNum>
  <w:abstractNum w:abstractNumId="13">
    <w:nsid w:val="E713BF25"/>
    <w:multiLevelType w:val="singleLevel"/>
    <w:tmpl w:val="E713BF25"/>
    <w:lvl w:ilvl="0">
      <w:start w:val="1"/>
      <w:numFmt w:val="decimal"/>
      <w:lvlText w:val="%1."/>
      <w:lvlJc w:val="left"/>
      <w:pPr>
        <w:tabs>
          <w:tab w:val="left" w:pos="312"/>
        </w:tabs>
      </w:pPr>
    </w:lvl>
  </w:abstractNum>
  <w:abstractNum w:abstractNumId="14">
    <w:nsid w:val="06E06F4A"/>
    <w:multiLevelType w:val="singleLevel"/>
    <w:tmpl w:val="06E06F4A"/>
    <w:lvl w:ilvl="0">
      <w:start w:val="1"/>
      <w:numFmt w:val="decimal"/>
      <w:suff w:val="space"/>
      <w:lvlText w:val="%1."/>
      <w:lvlJc w:val="left"/>
    </w:lvl>
  </w:abstractNum>
  <w:abstractNum w:abstractNumId="15">
    <w:nsid w:val="088DEB69"/>
    <w:multiLevelType w:val="singleLevel"/>
    <w:tmpl w:val="088DEB69"/>
    <w:lvl w:ilvl="0">
      <w:start w:val="1"/>
      <w:numFmt w:val="decimal"/>
      <w:lvlText w:val="%1."/>
      <w:lvlJc w:val="left"/>
      <w:pPr>
        <w:tabs>
          <w:tab w:val="left" w:pos="312"/>
        </w:tabs>
      </w:pPr>
    </w:lvl>
  </w:abstractNum>
  <w:abstractNum w:abstractNumId="16">
    <w:nsid w:val="122814CE"/>
    <w:multiLevelType w:val="singleLevel"/>
    <w:tmpl w:val="122814CE"/>
    <w:lvl w:ilvl="0">
      <w:start w:val="1"/>
      <w:numFmt w:val="decimal"/>
      <w:suff w:val="nothing"/>
      <w:lvlText w:val="%1）"/>
      <w:lvlJc w:val="left"/>
    </w:lvl>
  </w:abstractNum>
  <w:abstractNum w:abstractNumId="17">
    <w:nsid w:val="13EFB871"/>
    <w:multiLevelType w:val="singleLevel"/>
    <w:tmpl w:val="13EFB871"/>
    <w:lvl w:ilvl="0">
      <w:start w:val="1"/>
      <w:numFmt w:val="decimal"/>
      <w:suff w:val="space"/>
      <w:lvlText w:val="%1."/>
      <w:lvlJc w:val="left"/>
    </w:lvl>
  </w:abstractNum>
  <w:abstractNum w:abstractNumId="18">
    <w:nsid w:val="1CA1B205"/>
    <w:multiLevelType w:val="singleLevel"/>
    <w:tmpl w:val="1CA1B205"/>
    <w:lvl w:ilvl="0">
      <w:start w:val="1"/>
      <w:numFmt w:val="decimal"/>
      <w:suff w:val="space"/>
      <w:lvlText w:val="%1."/>
      <w:lvlJc w:val="left"/>
    </w:lvl>
  </w:abstractNum>
  <w:abstractNum w:abstractNumId="19">
    <w:nsid w:val="305A318A"/>
    <w:multiLevelType w:val="hybridMultilevel"/>
    <w:tmpl w:val="FC04D58E"/>
    <w:lvl w:ilvl="0" w:tplc="6CE2808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nsid w:val="3A93D05F"/>
    <w:multiLevelType w:val="singleLevel"/>
    <w:tmpl w:val="3A93D05F"/>
    <w:lvl w:ilvl="0">
      <w:start w:val="1"/>
      <w:numFmt w:val="decimal"/>
      <w:suff w:val="space"/>
      <w:lvlText w:val="%1."/>
      <w:lvlJc w:val="left"/>
    </w:lvl>
  </w:abstractNum>
  <w:abstractNum w:abstractNumId="21">
    <w:nsid w:val="434E7C0C"/>
    <w:multiLevelType w:val="singleLevel"/>
    <w:tmpl w:val="434E7C0C"/>
    <w:lvl w:ilvl="0">
      <w:start w:val="1"/>
      <w:numFmt w:val="decimal"/>
      <w:suff w:val="space"/>
      <w:lvlText w:val="%1."/>
      <w:lvlJc w:val="left"/>
    </w:lvl>
  </w:abstractNum>
  <w:abstractNum w:abstractNumId="22">
    <w:nsid w:val="44705DEC"/>
    <w:multiLevelType w:val="singleLevel"/>
    <w:tmpl w:val="44705DEC"/>
    <w:lvl w:ilvl="0">
      <w:start w:val="1"/>
      <w:numFmt w:val="decimal"/>
      <w:lvlText w:val="%1."/>
      <w:lvlJc w:val="left"/>
      <w:pPr>
        <w:tabs>
          <w:tab w:val="left" w:pos="312"/>
        </w:tabs>
      </w:pPr>
    </w:lvl>
  </w:abstractNum>
  <w:abstractNum w:abstractNumId="23">
    <w:nsid w:val="449114FF"/>
    <w:multiLevelType w:val="singleLevel"/>
    <w:tmpl w:val="449114FF"/>
    <w:lvl w:ilvl="0">
      <w:start w:val="1"/>
      <w:numFmt w:val="decimal"/>
      <w:lvlText w:val="%1."/>
      <w:lvlJc w:val="left"/>
      <w:pPr>
        <w:tabs>
          <w:tab w:val="left" w:pos="312"/>
        </w:tabs>
      </w:pPr>
    </w:lvl>
  </w:abstractNum>
  <w:abstractNum w:abstractNumId="24">
    <w:nsid w:val="5B75574F"/>
    <w:multiLevelType w:val="singleLevel"/>
    <w:tmpl w:val="5B75574F"/>
    <w:lvl w:ilvl="0">
      <w:start w:val="1"/>
      <w:numFmt w:val="decimal"/>
      <w:suff w:val="space"/>
      <w:lvlText w:val="%1."/>
      <w:lvlJc w:val="left"/>
    </w:lvl>
  </w:abstractNum>
  <w:abstractNum w:abstractNumId="25">
    <w:nsid w:val="630EA3B0"/>
    <w:multiLevelType w:val="singleLevel"/>
    <w:tmpl w:val="630EA3B0"/>
    <w:lvl w:ilvl="0">
      <w:start w:val="1"/>
      <w:numFmt w:val="decimal"/>
      <w:suff w:val="space"/>
      <w:lvlText w:val="%1."/>
      <w:lvlJc w:val="left"/>
    </w:lvl>
  </w:abstractNum>
  <w:abstractNum w:abstractNumId="26">
    <w:nsid w:val="6D64CD1D"/>
    <w:multiLevelType w:val="singleLevel"/>
    <w:tmpl w:val="6D64CD1D"/>
    <w:lvl w:ilvl="0">
      <w:start w:val="1"/>
      <w:numFmt w:val="decimal"/>
      <w:lvlText w:val="%1."/>
      <w:lvlJc w:val="left"/>
      <w:pPr>
        <w:tabs>
          <w:tab w:val="left" w:pos="312"/>
        </w:tabs>
      </w:pPr>
    </w:lvl>
  </w:abstractNum>
  <w:abstractNum w:abstractNumId="27">
    <w:nsid w:val="722CC9F6"/>
    <w:multiLevelType w:val="singleLevel"/>
    <w:tmpl w:val="722CC9F6"/>
    <w:lvl w:ilvl="0">
      <w:start w:val="1"/>
      <w:numFmt w:val="decimal"/>
      <w:lvlText w:val="%1."/>
      <w:lvlJc w:val="left"/>
      <w:pPr>
        <w:tabs>
          <w:tab w:val="left" w:pos="312"/>
        </w:tabs>
      </w:pPr>
    </w:lvl>
  </w:abstractNum>
  <w:abstractNum w:abstractNumId="28">
    <w:nsid w:val="727C3F28"/>
    <w:multiLevelType w:val="singleLevel"/>
    <w:tmpl w:val="727C3F28"/>
    <w:lvl w:ilvl="0">
      <w:start w:val="1"/>
      <w:numFmt w:val="decimal"/>
      <w:lvlText w:val="%1."/>
      <w:lvlJc w:val="left"/>
      <w:pPr>
        <w:tabs>
          <w:tab w:val="left" w:pos="312"/>
        </w:tabs>
      </w:pPr>
    </w:lvl>
  </w:abstractNum>
  <w:abstractNum w:abstractNumId="29">
    <w:nsid w:val="7F90D889"/>
    <w:multiLevelType w:val="singleLevel"/>
    <w:tmpl w:val="7F90D889"/>
    <w:lvl w:ilvl="0">
      <w:start w:val="1"/>
      <w:numFmt w:val="decimal"/>
      <w:suff w:val="space"/>
      <w:lvlText w:val="%1."/>
      <w:lvlJc w:val="left"/>
    </w:lvl>
  </w:abstractNum>
  <w:num w:numId="1">
    <w:abstractNumId w:val="15"/>
  </w:num>
  <w:num w:numId="2">
    <w:abstractNumId w:val="16"/>
  </w:num>
  <w:num w:numId="3">
    <w:abstractNumId w:val="8"/>
  </w:num>
  <w:num w:numId="4">
    <w:abstractNumId w:val="6"/>
  </w:num>
  <w:num w:numId="5">
    <w:abstractNumId w:val="27"/>
  </w:num>
  <w:num w:numId="6">
    <w:abstractNumId w:val="1"/>
  </w:num>
  <w:num w:numId="7">
    <w:abstractNumId w:val="12"/>
  </w:num>
  <w:num w:numId="8">
    <w:abstractNumId w:val="26"/>
  </w:num>
  <w:num w:numId="9">
    <w:abstractNumId w:val="14"/>
  </w:num>
  <w:num w:numId="10">
    <w:abstractNumId w:val="24"/>
  </w:num>
  <w:num w:numId="11">
    <w:abstractNumId w:val="23"/>
  </w:num>
  <w:num w:numId="12">
    <w:abstractNumId w:val="28"/>
  </w:num>
  <w:num w:numId="13">
    <w:abstractNumId w:val="22"/>
  </w:num>
  <w:num w:numId="14">
    <w:abstractNumId w:val="4"/>
  </w:num>
  <w:num w:numId="15">
    <w:abstractNumId w:val="11"/>
  </w:num>
  <w:num w:numId="16">
    <w:abstractNumId w:val="0"/>
  </w:num>
  <w:num w:numId="17">
    <w:abstractNumId w:val="9"/>
  </w:num>
  <w:num w:numId="18">
    <w:abstractNumId w:val="13"/>
  </w:num>
  <w:num w:numId="19">
    <w:abstractNumId w:val="3"/>
  </w:num>
  <w:num w:numId="20">
    <w:abstractNumId w:val="7"/>
  </w:num>
  <w:num w:numId="21">
    <w:abstractNumId w:val="21"/>
  </w:num>
  <w:num w:numId="22">
    <w:abstractNumId w:val="20"/>
  </w:num>
  <w:num w:numId="23">
    <w:abstractNumId w:val="18"/>
  </w:num>
  <w:num w:numId="24">
    <w:abstractNumId w:val="25"/>
  </w:num>
  <w:num w:numId="25">
    <w:abstractNumId w:val="5"/>
  </w:num>
  <w:num w:numId="26">
    <w:abstractNumId w:val="17"/>
  </w:num>
  <w:num w:numId="27">
    <w:abstractNumId w:val="29"/>
  </w:num>
  <w:num w:numId="28">
    <w:abstractNumId w:val="2"/>
  </w:num>
  <w:num w:numId="29">
    <w:abstractNumId w:val="1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NzZhZDAzNTBjYjM2ZWYzMWViMDg1ODI4NTM4MWIifQ=="/>
  </w:docVars>
  <w:rsids>
    <w:rsidRoot w:val="00EF65C4"/>
    <w:rsid w:val="00007D4E"/>
    <w:rsid w:val="00034BF2"/>
    <w:rsid w:val="00051CF6"/>
    <w:rsid w:val="00070F4C"/>
    <w:rsid w:val="0008581B"/>
    <w:rsid w:val="000C35DE"/>
    <w:rsid w:val="000E2BCE"/>
    <w:rsid w:val="00104387"/>
    <w:rsid w:val="00152C7F"/>
    <w:rsid w:val="00176F6C"/>
    <w:rsid w:val="001873FB"/>
    <w:rsid w:val="001D0B58"/>
    <w:rsid w:val="002072D6"/>
    <w:rsid w:val="002825F4"/>
    <w:rsid w:val="00290D1F"/>
    <w:rsid w:val="002A5789"/>
    <w:rsid w:val="002B1BCB"/>
    <w:rsid w:val="002B21F1"/>
    <w:rsid w:val="002B5EFF"/>
    <w:rsid w:val="0030578C"/>
    <w:rsid w:val="003111A4"/>
    <w:rsid w:val="003237E7"/>
    <w:rsid w:val="00326F9A"/>
    <w:rsid w:val="0034170B"/>
    <w:rsid w:val="00374499"/>
    <w:rsid w:val="00377658"/>
    <w:rsid w:val="003E1CD1"/>
    <w:rsid w:val="00452CE4"/>
    <w:rsid w:val="00456E75"/>
    <w:rsid w:val="00461D56"/>
    <w:rsid w:val="00480512"/>
    <w:rsid w:val="004A5944"/>
    <w:rsid w:val="004D51D0"/>
    <w:rsid w:val="00530BB2"/>
    <w:rsid w:val="005452B5"/>
    <w:rsid w:val="00545B40"/>
    <w:rsid w:val="00570478"/>
    <w:rsid w:val="00623041"/>
    <w:rsid w:val="00625AB5"/>
    <w:rsid w:val="00643CC1"/>
    <w:rsid w:val="006777D3"/>
    <w:rsid w:val="006A016A"/>
    <w:rsid w:val="00767225"/>
    <w:rsid w:val="00770ADA"/>
    <w:rsid w:val="0077270E"/>
    <w:rsid w:val="007936DE"/>
    <w:rsid w:val="0079377A"/>
    <w:rsid w:val="007F0A1D"/>
    <w:rsid w:val="007F2746"/>
    <w:rsid w:val="00807AEC"/>
    <w:rsid w:val="008C17DB"/>
    <w:rsid w:val="009045B2"/>
    <w:rsid w:val="00910D2C"/>
    <w:rsid w:val="00916892"/>
    <w:rsid w:val="00941F84"/>
    <w:rsid w:val="00951785"/>
    <w:rsid w:val="00970E0B"/>
    <w:rsid w:val="009736F8"/>
    <w:rsid w:val="0098140E"/>
    <w:rsid w:val="009F14AC"/>
    <w:rsid w:val="00A35C50"/>
    <w:rsid w:val="00A36B7B"/>
    <w:rsid w:val="00A36BA1"/>
    <w:rsid w:val="00A42025"/>
    <w:rsid w:val="00A84E14"/>
    <w:rsid w:val="00A97B0E"/>
    <w:rsid w:val="00AB5EC7"/>
    <w:rsid w:val="00B51981"/>
    <w:rsid w:val="00B64966"/>
    <w:rsid w:val="00BC2300"/>
    <w:rsid w:val="00BD7260"/>
    <w:rsid w:val="00C850DC"/>
    <w:rsid w:val="00CA2A87"/>
    <w:rsid w:val="00CF18E0"/>
    <w:rsid w:val="00CF746A"/>
    <w:rsid w:val="00CF7DC7"/>
    <w:rsid w:val="00D16711"/>
    <w:rsid w:val="00D27BC9"/>
    <w:rsid w:val="00D70529"/>
    <w:rsid w:val="00DB3483"/>
    <w:rsid w:val="00DC5451"/>
    <w:rsid w:val="00DC5465"/>
    <w:rsid w:val="00DF0006"/>
    <w:rsid w:val="00E14A1A"/>
    <w:rsid w:val="00E15735"/>
    <w:rsid w:val="00EF14A4"/>
    <w:rsid w:val="00EF65C4"/>
    <w:rsid w:val="00F03D1C"/>
    <w:rsid w:val="00F10315"/>
    <w:rsid w:val="00F2367A"/>
    <w:rsid w:val="00F537C9"/>
    <w:rsid w:val="00F53882"/>
    <w:rsid w:val="00F6251C"/>
    <w:rsid w:val="0127533C"/>
    <w:rsid w:val="015679D0"/>
    <w:rsid w:val="01E7014F"/>
    <w:rsid w:val="02887C6F"/>
    <w:rsid w:val="03993BA4"/>
    <w:rsid w:val="047A1C27"/>
    <w:rsid w:val="049A54D7"/>
    <w:rsid w:val="049D6916"/>
    <w:rsid w:val="04B2162C"/>
    <w:rsid w:val="04D806FC"/>
    <w:rsid w:val="05290F57"/>
    <w:rsid w:val="058173B5"/>
    <w:rsid w:val="058368B9"/>
    <w:rsid w:val="05D95423"/>
    <w:rsid w:val="085D5C17"/>
    <w:rsid w:val="08C27D96"/>
    <w:rsid w:val="09DF48E1"/>
    <w:rsid w:val="0A530F50"/>
    <w:rsid w:val="0A56459C"/>
    <w:rsid w:val="0B2D748D"/>
    <w:rsid w:val="0B7B7B74"/>
    <w:rsid w:val="0B7C44D7"/>
    <w:rsid w:val="0BC1638D"/>
    <w:rsid w:val="0BFF11DF"/>
    <w:rsid w:val="0D1E192C"/>
    <w:rsid w:val="0D1F15BD"/>
    <w:rsid w:val="0DAF5041"/>
    <w:rsid w:val="0E230C39"/>
    <w:rsid w:val="0E247709"/>
    <w:rsid w:val="0E590AFF"/>
    <w:rsid w:val="0FDB7FAB"/>
    <w:rsid w:val="116E2B13"/>
    <w:rsid w:val="1252046D"/>
    <w:rsid w:val="1525798D"/>
    <w:rsid w:val="15A46484"/>
    <w:rsid w:val="16582624"/>
    <w:rsid w:val="165E1294"/>
    <w:rsid w:val="16B7176E"/>
    <w:rsid w:val="16F83A74"/>
    <w:rsid w:val="17141A67"/>
    <w:rsid w:val="174D17DA"/>
    <w:rsid w:val="176758C9"/>
    <w:rsid w:val="17B40B54"/>
    <w:rsid w:val="186C006F"/>
    <w:rsid w:val="1928405C"/>
    <w:rsid w:val="194B7296"/>
    <w:rsid w:val="1A582B40"/>
    <w:rsid w:val="1A691CF7"/>
    <w:rsid w:val="1AAB13B3"/>
    <w:rsid w:val="1ACA3121"/>
    <w:rsid w:val="1BC81072"/>
    <w:rsid w:val="1CB87339"/>
    <w:rsid w:val="1CD22318"/>
    <w:rsid w:val="1D436C02"/>
    <w:rsid w:val="1D440BCC"/>
    <w:rsid w:val="1D9E3026"/>
    <w:rsid w:val="1DD4763E"/>
    <w:rsid w:val="1DE55F0B"/>
    <w:rsid w:val="1EB20626"/>
    <w:rsid w:val="1EF06916"/>
    <w:rsid w:val="1F0761A2"/>
    <w:rsid w:val="1F7A229D"/>
    <w:rsid w:val="1FC5492A"/>
    <w:rsid w:val="205D3B15"/>
    <w:rsid w:val="20ED053C"/>
    <w:rsid w:val="21CC572E"/>
    <w:rsid w:val="21F2233C"/>
    <w:rsid w:val="230B683A"/>
    <w:rsid w:val="24547947"/>
    <w:rsid w:val="245F32F7"/>
    <w:rsid w:val="253A5C63"/>
    <w:rsid w:val="25EB42DB"/>
    <w:rsid w:val="25FA5D01"/>
    <w:rsid w:val="26815797"/>
    <w:rsid w:val="273F5F9F"/>
    <w:rsid w:val="27462FC9"/>
    <w:rsid w:val="27DD75E8"/>
    <w:rsid w:val="2838059E"/>
    <w:rsid w:val="28475245"/>
    <w:rsid w:val="2907142C"/>
    <w:rsid w:val="2909689B"/>
    <w:rsid w:val="2996455E"/>
    <w:rsid w:val="29EF57DD"/>
    <w:rsid w:val="2A182135"/>
    <w:rsid w:val="2A61691A"/>
    <w:rsid w:val="2AC94B7B"/>
    <w:rsid w:val="2AEF3F25"/>
    <w:rsid w:val="2B3260A2"/>
    <w:rsid w:val="2B5116C7"/>
    <w:rsid w:val="2B7372F2"/>
    <w:rsid w:val="2BCF0970"/>
    <w:rsid w:val="2C7D1AEA"/>
    <w:rsid w:val="2D845CE8"/>
    <w:rsid w:val="2E3D31FA"/>
    <w:rsid w:val="2E6378ED"/>
    <w:rsid w:val="2FD14541"/>
    <w:rsid w:val="30BF439A"/>
    <w:rsid w:val="31224929"/>
    <w:rsid w:val="31472D78"/>
    <w:rsid w:val="324B2107"/>
    <w:rsid w:val="32A50578"/>
    <w:rsid w:val="334943EF"/>
    <w:rsid w:val="343B467F"/>
    <w:rsid w:val="34786417"/>
    <w:rsid w:val="3586192A"/>
    <w:rsid w:val="35C02138"/>
    <w:rsid w:val="36160F00"/>
    <w:rsid w:val="36174C78"/>
    <w:rsid w:val="36A80715"/>
    <w:rsid w:val="36BD5820"/>
    <w:rsid w:val="36DF3D38"/>
    <w:rsid w:val="37233390"/>
    <w:rsid w:val="37645C9B"/>
    <w:rsid w:val="37E33C8F"/>
    <w:rsid w:val="38B90269"/>
    <w:rsid w:val="392C5D05"/>
    <w:rsid w:val="3A2235E7"/>
    <w:rsid w:val="3A3D4F53"/>
    <w:rsid w:val="3A992BBA"/>
    <w:rsid w:val="3B201ED9"/>
    <w:rsid w:val="3B2714BA"/>
    <w:rsid w:val="3B3911ED"/>
    <w:rsid w:val="3BC27434"/>
    <w:rsid w:val="3BD86C58"/>
    <w:rsid w:val="3C6F136A"/>
    <w:rsid w:val="3CC46577"/>
    <w:rsid w:val="3CF946FE"/>
    <w:rsid w:val="3D8F3346"/>
    <w:rsid w:val="3E3F4D6C"/>
    <w:rsid w:val="3E8B1D5F"/>
    <w:rsid w:val="3EAC2F26"/>
    <w:rsid w:val="3EF618CF"/>
    <w:rsid w:val="3F177A97"/>
    <w:rsid w:val="3FDC2791"/>
    <w:rsid w:val="400A0E0C"/>
    <w:rsid w:val="40980764"/>
    <w:rsid w:val="40ED333C"/>
    <w:rsid w:val="410C259E"/>
    <w:rsid w:val="41171FD0"/>
    <w:rsid w:val="41A125EF"/>
    <w:rsid w:val="41D103D1"/>
    <w:rsid w:val="41E33C60"/>
    <w:rsid w:val="42383FAC"/>
    <w:rsid w:val="4250489A"/>
    <w:rsid w:val="42572AC8"/>
    <w:rsid w:val="427A2817"/>
    <w:rsid w:val="427A45C5"/>
    <w:rsid w:val="43C7274B"/>
    <w:rsid w:val="43CA3BDE"/>
    <w:rsid w:val="44050C53"/>
    <w:rsid w:val="440A1978"/>
    <w:rsid w:val="444D1C5E"/>
    <w:rsid w:val="45441ABB"/>
    <w:rsid w:val="459350ED"/>
    <w:rsid w:val="45BE0C6C"/>
    <w:rsid w:val="462F3918"/>
    <w:rsid w:val="46733805"/>
    <w:rsid w:val="47097A44"/>
    <w:rsid w:val="473F1D7C"/>
    <w:rsid w:val="47615D17"/>
    <w:rsid w:val="47BE4F54"/>
    <w:rsid w:val="485B27A2"/>
    <w:rsid w:val="48896955"/>
    <w:rsid w:val="48DE5452"/>
    <w:rsid w:val="497E1DB7"/>
    <w:rsid w:val="4AE45B2B"/>
    <w:rsid w:val="4AED19D2"/>
    <w:rsid w:val="4BD765E4"/>
    <w:rsid w:val="4C0B21F4"/>
    <w:rsid w:val="4C14566A"/>
    <w:rsid w:val="4CAE3C21"/>
    <w:rsid w:val="4D663D19"/>
    <w:rsid w:val="4D7C7269"/>
    <w:rsid w:val="4EB70C79"/>
    <w:rsid w:val="4F0516BA"/>
    <w:rsid w:val="4F1E5D1F"/>
    <w:rsid w:val="4F2E45EC"/>
    <w:rsid w:val="4F6B1868"/>
    <w:rsid w:val="4FD712A8"/>
    <w:rsid w:val="4FD95020"/>
    <w:rsid w:val="50013B2E"/>
    <w:rsid w:val="5039786D"/>
    <w:rsid w:val="50541B71"/>
    <w:rsid w:val="507B2AF5"/>
    <w:rsid w:val="50BB0282"/>
    <w:rsid w:val="50C52667"/>
    <w:rsid w:val="50F07938"/>
    <w:rsid w:val="513454B5"/>
    <w:rsid w:val="51A12546"/>
    <w:rsid w:val="51A451BA"/>
    <w:rsid w:val="51EB1A85"/>
    <w:rsid w:val="52C166CE"/>
    <w:rsid w:val="52F24A9A"/>
    <w:rsid w:val="53964FD7"/>
    <w:rsid w:val="53FB308C"/>
    <w:rsid w:val="54422A68"/>
    <w:rsid w:val="552C70EA"/>
    <w:rsid w:val="557B26D6"/>
    <w:rsid w:val="55985036"/>
    <w:rsid w:val="57467EEF"/>
    <w:rsid w:val="57672270"/>
    <w:rsid w:val="576D10A9"/>
    <w:rsid w:val="576F1DB0"/>
    <w:rsid w:val="5779109F"/>
    <w:rsid w:val="579E26AC"/>
    <w:rsid w:val="580E05A5"/>
    <w:rsid w:val="5829466B"/>
    <w:rsid w:val="58694A68"/>
    <w:rsid w:val="591619F4"/>
    <w:rsid w:val="594554D5"/>
    <w:rsid w:val="596268B2"/>
    <w:rsid w:val="59FB2037"/>
    <w:rsid w:val="5AED72F3"/>
    <w:rsid w:val="5B3A093D"/>
    <w:rsid w:val="5B60089B"/>
    <w:rsid w:val="5B955C1B"/>
    <w:rsid w:val="5BCB77E7"/>
    <w:rsid w:val="5C351108"/>
    <w:rsid w:val="5C6E7D9F"/>
    <w:rsid w:val="5D00582B"/>
    <w:rsid w:val="5DAB167E"/>
    <w:rsid w:val="5E165B41"/>
    <w:rsid w:val="5E2751A9"/>
    <w:rsid w:val="5EE906B0"/>
    <w:rsid w:val="5FC02A17"/>
    <w:rsid w:val="5FD4310E"/>
    <w:rsid w:val="60583D40"/>
    <w:rsid w:val="60934D78"/>
    <w:rsid w:val="609520D5"/>
    <w:rsid w:val="60FB46CB"/>
    <w:rsid w:val="617A68FA"/>
    <w:rsid w:val="61CE4AC4"/>
    <w:rsid w:val="621450DD"/>
    <w:rsid w:val="624A1322"/>
    <w:rsid w:val="62774225"/>
    <w:rsid w:val="62AC2121"/>
    <w:rsid w:val="62E63110"/>
    <w:rsid w:val="62F04716"/>
    <w:rsid w:val="63083F9F"/>
    <w:rsid w:val="636E7208"/>
    <w:rsid w:val="638101A9"/>
    <w:rsid w:val="63C87865"/>
    <w:rsid w:val="64915A72"/>
    <w:rsid w:val="65247C56"/>
    <w:rsid w:val="65501489"/>
    <w:rsid w:val="65E66585"/>
    <w:rsid w:val="66F902C2"/>
    <w:rsid w:val="67EC6609"/>
    <w:rsid w:val="68200353"/>
    <w:rsid w:val="689478DF"/>
    <w:rsid w:val="68B044B1"/>
    <w:rsid w:val="68BC5088"/>
    <w:rsid w:val="68C164DB"/>
    <w:rsid w:val="69DA1A40"/>
    <w:rsid w:val="69F038E5"/>
    <w:rsid w:val="6B4B624F"/>
    <w:rsid w:val="6B680BAF"/>
    <w:rsid w:val="6C2216A6"/>
    <w:rsid w:val="6C8E6D3B"/>
    <w:rsid w:val="6CAD71C1"/>
    <w:rsid w:val="6D5B65A5"/>
    <w:rsid w:val="6D65184A"/>
    <w:rsid w:val="6F5914CB"/>
    <w:rsid w:val="6F604EE7"/>
    <w:rsid w:val="700E4969"/>
    <w:rsid w:val="70B044EA"/>
    <w:rsid w:val="71C33F09"/>
    <w:rsid w:val="725B146D"/>
    <w:rsid w:val="72B0266E"/>
    <w:rsid w:val="740A05FC"/>
    <w:rsid w:val="754A09C4"/>
    <w:rsid w:val="755A0ECD"/>
    <w:rsid w:val="757F5473"/>
    <w:rsid w:val="75C30E7F"/>
    <w:rsid w:val="75D80779"/>
    <w:rsid w:val="76185CB1"/>
    <w:rsid w:val="7620383B"/>
    <w:rsid w:val="76E0084A"/>
    <w:rsid w:val="7750356B"/>
    <w:rsid w:val="77F83908"/>
    <w:rsid w:val="78D8784E"/>
    <w:rsid w:val="79914366"/>
    <w:rsid w:val="7B891411"/>
    <w:rsid w:val="7BA5672C"/>
    <w:rsid w:val="7CFD79D2"/>
    <w:rsid w:val="7DBD5721"/>
    <w:rsid w:val="7DEE13E8"/>
    <w:rsid w:val="7E413C5F"/>
    <w:rsid w:val="7E4B05E8"/>
    <w:rsid w:val="7E6D67B0"/>
    <w:rsid w:val="7EDC56E4"/>
    <w:rsid w:val="7F6D2FFB"/>
    <w:rsid w:val="7FD743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3">
    <w:name w:val="heading 3"/>
    <w:basedOn w:val="a"/>
    <w:next w:val="a"/>
    <w:uiPriority w:val="9"/>
    <w:qFormat/>
    <w:pPr>
      <w:widowControl/>
      <w:spacing w:line="500" w:lineRule="exact"/>
      <w:jc w:val="left"/>
      <w:outlineLvl w:val="2"/>
    </w:pPr>
    <w:rPr>
      <w:rFonts w:asciiTheme="minorEastAsia" w:eastAsiaTheme="minorEastAsia" w:hAnsiTheme="minorEastAsia" w:cs="宋体"/>
      <w:b/>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Normal Indent"/>
    <w:basedOn w:val="a"/>
    <w:uiPriority w:val="99"/>
    <w:unhideWhenUsed/>
    <w:qFormat/>
    <w:pPr>
      <w:ind w:firstLineChars="200" w:firstLine="880"/>
    </w:pPr>
  </w:style>
  <w:style w:type="paragraph" w:styleId="a5">
    <w:name w:val="Body Text Indent"/>
    <w:basedOn w:val="a"/>
    <w:qFormat/>
    <w:pPr>
      <w:ind w:firstLineChars="175" w:firstLine="420"/>
    </w:pPr>
    <w:rPr>
      <w:rFonts w:ascii="宋体" w:hAnsi="宋体"/>
      <w:sz w:val="24"/>
      <w:szCs w:val="24"/>
    </w:rPr>
  </w:style>
  <w:style w:type="paragraph" w:styleId="a6">
    <w:name w:val="Plain Text"/>
    <w:basedOn w:val="a"/>
    <w:link w:val="Char1"/>
    <w:qFormat/>
    <w:pPr>
      <w:spacing w:line="360" w:lineRule="auto"/>
      <w:ind w:firstLineChars="200" w:firstLine="480"/>
    </w:pPr>
    <w:rPr>
      <w:rFonts w:ascii="仿宋_GB2312"/>
      <w:sz w:val="24"/>
    </w:rPr>
  </w:style>
  <w:style w:type="paragraph" w:styleId="a7">
    <w:name w:val="footer"/>
    <w:basedOn w:val="a"/>
    <w:link w:val="Char"/>
    <w:uiPriority w:val="99"/>
    <w:unhideWhenUsed/>
    <w:qFormat/>
    <w:pPr>
      <w:tabs>
        <w:tab w:val="center" w:pos="4153"/>
        <w:tab w:val="right" w:pos="8306"/>
      </w:tabs>
      <w:snapToGrid w:val="0"/>
      <w:jc w:val="left"/>
    </w:pPr>
    <w:rPr>
      <w:sz w:val="18"/>
      <w:szCs w:val="18"/>
    </w:rPr>
  </w:style>
  <w:style w:type="paragraph" w:styleId="a8">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qFormat/>
    <w:pPr>
      <w:spacing w:beforeLines="100" w:afterLines="100"/>
      <w:jc w:val="center"/>
      <w:outlineLvl w:val="0"/>
    </w:pPr>
    <w:rPr>
      <w:rFonts w:eastAsia="方正小标宋简体"/>
      <w:bCs/>
      <w:sz w:val="36"/>
      <w:szCs w:val="32"/>
    </w:r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8"/>
    <w:uiPriority w:val="99"/>
    <w:qFormat/>
    <w:rPr>
      <w:sz w:val="18"/>
      <w:szCs w:val="18"/>
    </w:rPr>
  </w:style>
  <w:style w:type="character" w:customStyle="1" w:styleId="Char">
    <w:name w:val="页脚 Char"/>
    <w:basedOn w:val="a1"/>
    <w:link w:val="a7"/>
    <w:uiPriority w:val="99"/>
    <w:qFormat/>
    <w:rPr>
      <w:sz w:val="18"/>
      <w:szCs w:val="18"/>
    </w:rPr>
  </w:style>
  <w:style w:type="character" w:customStyle="1" w:styleId="Char2">
    <w:name w:val="纯文本 Char"/>
    <w:qFormat/>
    <w:rPr>
      <w:rFonts w:ascii="仿宋_GB2312" w:eastAsia="宋体" w:hAnsi="Times New Roman" w:cs="Times New Roman"/>
      <w:sz w:val="24"/>
      <w:szCs w:val="20"/>
    </w:rPr>
  </w:style>
  <w:style w:type="character" w:customStyle="1" w:styleId="Char1">
    <w:name w:val="纯文本 Char1"/>
    <w:basedOn w:val="a1"/>
    <w:link w:val="a6"/>
    <w:uiPriority w:val="99"/>
    <w:semiHidden/>
    <w:qFormat/>
    <w:rPr>
      <w:rFonts w:ascii="宋体" w:eastAsia="宋体" w:hAnsi="Courier New" w:cs="Courier New"/>
      <w:szCs w:val="21"/>
    </w:rPr>
  </w:style>
  <w:style w:type="character" w:customStyle="1" w:styleId="Char20">
    <w:name w:val="纯文本 Char2"/>
    <w:qFormat/>
    <w:rPr>
      <w:rFonts w:ascii="仿宋_GB2312" w:hAnsi="Times New Roman"/>
      <w:kern w:val="2"/>
      <w:sz w:val="24"/>
    </w:rPr>
  </w:style>
  <w:style w:type="paragraph" w:customStyle="1" w:styleId="NewNew">
    <w:name w:val="正文 New New"/>
    <w:qFormat/>
    <w:pPr>
      <w:widowControl w:val="0"/>
      <w:jc w:val="both"/>
    </w:pPr>
    <w:rPr>
      <w:szCs w:val="24"/>
    </w:rPr>
  </w:style>
  <w:style w:type="paragraph" w:styleId="ab">
    <w:name w:val="List Paragraph"/>
    <w:basedOn w:val="a"/>
    <w:uiPriority w:val="99"/>
    <w:qFormat/>
    <w:pPr>
      <w:ind w:firstLineChars="200" w:firstLine="420"/>
    </w:pPr>
  </w:style>
  <w:style w:type="paragraph" w:styleId="ac">
    <w:name w:val="Balloon Text"/>
    <w:basedOn w:val="a"/>
    <w:link w:val="Char3"/>
    <w:uiPriority w:val="99"/>
    <w:semiHidden/>
    <w:unhideWhenUsed/>
    <w:rsid w:val="009045B2"/>
    <w:rPr>
      <w:sz w:val="18"/>
      <w:szCs w:val="18"/>
    </w:rPr>
  </w:style>
  <w:style w:type="character" w:customStyle="1" w:styleId="Char3">
    <w:name w:val="批注框文本 Char"/>
    <w:basedOn w:val="a1"/>
    <w:link w:val="ac"/>
    <w:uiPriority w:val="99"/>
    <w:semiHidden/>
    <w:rsid w:val="009045B2"/>
    <w:rPr>
      <w:kern w:val="2"/>
      <w:sz w:val="18"/>
      <w:szCs w:val="18"/>
    </w:rPr>
  </w:style>
  <w:style w:type="table" w:customStyle="1" w:styleId="1">
    <w:name w:val="网格型1"/>
    <w:basedOn w:val="a2"/>
    <w:next w:val="aa"/>
    <w:qFormat/>
    <w:rsid w:val="009045B2"/>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3">
    <w:name w:val="heading 3"/>
    <w:basedOn w:val="a"/>
    <w:next w:val="a"/>
    <w:uiPriority w:val="9"/>
    <w:qFormat/>
    <w:pPr>
      <w:widowControl/>
      <w:spacing w:line="500" w:lineRule="exact"/>
      <w:jc w:val="left"/>
      <w:outlineLvl w:val="2"/>
    </w:pPr>
    <w:rPr>
      <w:rFonts w:asciiTheme="minorEastAsia" w:eastAsiaTheme="minorEastAsia" w:hAnsiTheme="minorEastAsia" w:cs="宋体"/>
      <w:b/>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Normal Indent"/>
    <w:basedOn w:val="a"/>
    <w:uiPriority w:val="99"/>
    <w:unhideWhenUsed/>
    <w:qFormat/>
    <w:pPr>
      <w:ind w:firstLineChars="200" w:firstLine="880"/>
    </w:pPr>
  </w:style>
  <w:style w:type="paragraph" w:styleId="a5">
    <w:name w:val="Body Text Indent"/>
    <w:basedOn w:val="a"/>
    <w:qFormat/>
    <w:pPr>
      <w:ind w:firstLineChars="175" w:firstLine="420"/>
    </w:pPr>
    <w:rPr>
      <w:rFonts w:ascii="宋体" w:hAnsi="宋体"/>
      <w:sz w:val="24"/>
      <w:szCs w:val="24"/>
    </w:rPr>
  </w:style>
  <w:style w:type="paragraph" w:styleId="a6">
    <w:name w:val="Plain Text"/>
    <w:basedOn w:val="a"/>
    <w:link w:val="Char1"/>
    <w:qFormat/>
    <w:pPr>
      <w:spacing w:line="360" w:lineRule="auto"/>
      <w:ind w:firstLineChars="200" w:firstLine="480"/>
    </w:pPr>
    <w:rPr>
      <w:rFonts w:ascii="仿宋_GB2312"/>
      <w:sz w:val="24"/>
    </w:rPr>
  </w:style>
  <w:style w:type="paragraph" w:styleId="a7">
    <w:name w:val="footer"/>
    <w:basedOn w:val="a"/>
    <w:link w:val="Char"/>
    <w:uiPriority w:val="99"/>
    <w:unhideWhenUsed/>
    <w:qFormat/>
    <w:pPr>
      <w:tabs>
        <w:tab w:val="center" w:pos="4153"/>
        <w:tab w:val="right" w:pos="8306"/>
      </w:tabs>
      <w:snapToGrid w:val="0"/>
      <w:jc w:val="left"/>
    </w:pPr>
    <w:rPr>
      <w:sz w:val="18"/>
      <w:szCs w:val="18"/>
    </w:rPr>
  </w:style>
  <w:style w:type="paragraph" w:styleId="a8">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qFormat/>
    <w:pPr>
      <w:spacing w:beforeLines="100" w:afterLines="100"/>
      <w:jc w:val="center"/>
      <w:outlineLvl w:val="0"/>
    </w:pPr>
    <w:rPr>
      <w:rFonts w:eastAsia="方正小标宋简体"/>
      <w:bCs/>
      <w:sz w:val="36"/>
      <w:szCs w:val="32"/>
    </w:r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8"/>
    <w:uiPriority w:val="99"/>
    <w:qFormat/>
    <w:rPr>
      <w:sz w:val="18"/>
      <w:szCs w:val="18"/>
    </w:rPr>
  </w:style>
  <w:style w:type="character" w:customStyle="1" w:styleId="Char">
    <w:name w:val="页脚 Char"/>
    <w:basedOn w:val="a1"/>
    <w:link w:val="a7"/>
    <w:uiPriority w:val="99"/>
    <w:qFormat/>
    <w:rPr>
      <w:sz w:val="18"/>
      <w:szCs w:val="18"/>
    </w:rPr>
  </w:style>
  <w:style w:type="character" w:customStyle="1" w:styleId="Char2">
    <w:name w:val="纯文本 Char"/>
    <w:qFormat/>
    <w:rPr>
      <w:rFonts w:ascii="仿宋_GB2312" w:eastAsia="宋体" w:hAnsi="Times New Roman" w:cs="Times New Roman"/>
      <w:sz w:val="24"/>
      <w:szCs w:val="20"/>
    </w:rPr>
  </w:style>
  <w:style w:type="character" w:customStyle="1" w:styleId="Char1">
    <w:name w:val="纯文本 Char1"/>
    <w:basedOn w:val="a1"/>
    <w:link w:val="a6"/>
    <w:uiPriority w:val="99"/>
    <w:semiHidden/>
    <w:qFormat/>
    <w:rPr>
      <w:rFonts w:ascii="宋体" w:eastAsia="宋体" w:hAnsi="Courier New" w:cs="Courier New"/>
      <w:szCs w:val="21"/>
    </w:rPr>
  </w:style>
  <w:style w:type="character" w:customStyle="1" w:styleId="Char20">
    <w:name w:val="纯文本 Char2"/>
    <w:qFormat/>
    <w:rPr>
      <w:rFonts w:ascii="仿宋_GB2312" w:hAnsi="Times New Roman"/>
      <w:kern w:val="2"/>
      <w:sz w:val="24"/>
    </w:rPr>
  </w:style>
  <w:style w:type="paragraph" w:customStyle="1" w:styleId="NewNew">
    <w:name w:val="正文 New New"/>
    <w:qFormat/>
    <w:pPr>
      <w:widowControl w:val="0"/>
      <w:jc w:val="both"/>
    </w:pPr>
    <w:rPr>
      <w:szCs w:val="24"/>
    </w:rPr>
  </w:style>
  <w:style w:type="paragraph" w:styleId="ab">
    <w:name w:val="List Paragraph"/>
    <w:basedOn w:val="a"/>
    <w:uiPriority w:val="99"/>
    <w:qFormat/>
    <w:pPr>
      <w:ind w:firstLineChars="200" w:firstLine="420"/>
    </w:pPr>
  </w:style>
  <w:style w:type="paragraph" w:styleId="ac">
    <w:name w:val="Balloon Text"/>
    <w:basedOn w:val="a"/>
    <w:link w:val="Char3"/>
    <w:uiPriority w:val="99"/>
    <w:semiHidden/>
    <w:unhideWhenUsed/>
    <w:rsid w:val="009045B2"/>
    <w:rPr>
      <w:sz w:val="18"/>
      <w:szCs w:val="18"/>
    </w:rPr>
  </w:style>
  <w:style w:type="character" w:customStyle="1" w:styleId="Char3">
    <w:name w:val="批注框文本 Char"/>
    <w:basedOn w:val="a1"/>
    <w:link w:val="ac"/>
    <w:uiPriority w:val="99"/>
    <w:semiHidden/>
    <w:rsid w:val="009045B2"/>
    <w:rPr>
      <w:kern w:val="2"/>
      <w:sz w:val="18"/>
      <w:szCs w:val="18"/>
    </w:rPr>
  </w:style>
  <w:style w:type="table" w:customStyle="1" w:styleId="1">
    <w:name w:val="网格型1"/>
    <w:basedOn w:val="a2"/>
    <w:next w:val="aa"/>
    <w:qFormat/>
    <w:rsid w:val="009045B2"/>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415</Words>
  <Characters>2367</Characters>
  <Application>Microsoft Office Word</Application>
  <DocSecurity>0</DocSecurity>
  <Lines>19</Lines>
  <Paragraphs>5</Paragraphs>
  <ScaleCrop>false</ScaleCrop>
  <Company>P R C</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张华海</dc:creator>
  <cp:lastModifiedBy>马松涛</cp:lastModifiedBy>
  <cp:revision>9</cp:revision>
  <dcterms:created xsi:type="dcterms:W3CDTF">2022-10-20T04:48:00Z</dcterms:created>
  <dcterms:modified xsi:type="dcterms:W3CDTF">2024-11-20T02:32:00Z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4630536965DD40A39800869BB0646F05</vt:lpwstr>
  </property>
  <property fmtid="{D5CDD505-2E9C-101B-9397-08002B2CF9AE}" pid="4" name="GrammarlyDocumentId">
    <vt:lpwstr>745b95d429dd0f4b6754adadce7bebb7e5f3c444c40bd10975343a3524438b43</vt:lpwstr>
  </property>
</Properties>
</file>